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14, 2024, Rani Therapeutics Holdings, Inc. (the “Company”) issued a press release providing a corporate update and announcing its financial results for the quarter ended September 30, 2024. The full text of the press release is furnished as Exhibit 99.1 to this Current Report on Form 8-K and is incorporated herein by reference.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45"/>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21"/>
                <w:szCs w:val="21"/>
                <w:color w:val="auto"/>
              </w:rPr>
            </w:pPr>
          </w:p>
        </w:tc>
        <w:tc>
          <w:tcPr>
            <w:tcW w:w="10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6"/>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5"/>
                <w:szCs w:val="15"/>
                <w:color w:val="auto"/>
              </w:rPr>
            </w:pPr>
          </w:p>
        </w:tc>
        <w:tc>
          <w:tcPr>
            <w:tcW w:w="10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Press Release of Rani Therapeutics Holdings, Inc. dated November 14, 2024</w:t>
            </w: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EE"/>
            </w:tcBorders>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500505"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387" w:lineRule="auto"/>
        <w:rPr>
          <w:sz w:val="20"/>
          <w:szCs w:val="20"/>
          <w:color w:val="auto"/>
        </w:rPr>
      </w:pPr>
      <w:r>
        <w:rPr>
          <w:rFonts w:ascii="Times New Roman" w:cs="Times New Roman" w:eastAsia="Times New Roman" w:hAnsi="Times New Roman"/>
          <w:sz w:val="18"/>
          <w:szCs w:val="18"/>
          <w:b w:val="1"/>
          <w:bCs w:val="1"/>
          <w:color w:val="auto"/>
        </w:rPr>
        <w:t xml:space="preserve">Rani Therapeutics Reports Third Quarter 2024 Financial Results; Provides Corporate Update </w:t>
      </w:r>
      <w:r>
        <w:rPr>
          <w:rFonts w:ascii="Times New Roman" w:cs="Times New Roman" w:eastAsia="Times New Roman" w:hAnsi="Times New Roman"/>
          <w:sz w:val="18"/>
          <w:szCs w:val="18"/>
          <w:i w:val="1"/>
          <w:iCs w:val="1"/>
          <w:color w:val="auto"/>
        </w:rPr>
        <w:t>- Completed two equity offerings with total gross proceeds of approximately $20.0 million; cash runway extended into 3Q 2025 - - Announced new preclinical pharmacokinetic data supporting transenteric delivery of GLP-1 incretin triagonist - - Phase 1 study for RT-114, an oral GLP-1/GLP-2 dual agonist for the treatment of obesity, expected to initiate in 2025 -</w:t>
      </w:r>
    </w:p>
    <w:p>
      <w:pPr>
        <w:spacing w:after="0" w:line="1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JOSE, Calif., November 14, 2024 </w:t>
      </w:r>
      <w:r>
        <w:rPr>
          <w:rFonts w:ascii="Times New Roman" w:cs="Times New Roman" w:eastAsia="Times New Roman" w:hAnsi="Times New Roman"/>
          <w:sz w:val="18"/>
          <w:szCs w:val="18"/>
          <w:color w:val="auto"/>
        </w:rPr>
        <w:t>-- Rani Therapeutics Holdings, Inc. (“Rani Therapeutics” or “Rani”) (Nasdaq: RANI),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biotherapeutics company focused on the oral delivery of biologics and drugs, today reported financial results for the quarter ended September 30, 2024 and provided a corporate update.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pleased with the progress we have made this quarter headlined by new preclinical pharmacokinetic data supporting the transenteric delivery of a GLP-1 incretin triagonist. This data, combined with the previously announced pharmacodynamic data from the study, underscores the potential of the RaniPill® to contribute to the GLP-1 receptor agonist space and the broader obesity therapeutics market,” said Talat Imran, Chief Executive Officer of Rani. “Additionally, we raised $20 million in aggregate gross proceeds from financings in July and October, enabling us to extend our cash runway into the third quarter of 2025. Looking ahead, we are excited to start our Phase 1 trial of RT-114 containing a GLP-1/GLP-2 dual agonist for the treatment of obesity next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and Subsequent Highlights:</w:t>
      </w:r>
    </w:p>
    <w:p>
      <w:pPr>
        <w:spacing w:after="0" w:line="117" w:lineRule="exact"/>
        <w:rPr>
          <w:sz w:val="20"/>
          <w:szCs w:val="20"/>
          <w:color w:val="auto"/>
        </w:rPr>
      </w:pPr>
    </w:p>
    <w:p>
      <w:pPr>
        <w:ind w:left="760" w:right="20" w:hanging="378"/>
        <w:spacing w:after="0" w:line="26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Announced new preclinical pharmacokinetic data supporting transenteric delivery of GLP-1 incretin triagonist. </w:t>
      </w:r>
      <w:r>
        <w:rPr>
          <w:rFonts w:ascii="Times New Roman" w:cs="Times New Roman" w:eastAsia="Times New Roman" w:hAnsi="Times New Roman"/>
          <w:sz w:val="18"/>
          <w:szCs w:val="18"/>
          <w:color w:val="auto"/>
        </w:rPr>
        <w:t>In October 2024, Rani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new pharmacokinetic data from a preclinical study evaluating a GLP-1, GIP and glucagon receptors incretin triagonist with a delivery method mimicking the RaniPill® route of administration. The pharmacokinetic data provides further evidence of the RaniPill® platform’s potential to enable oral delivery of multiple obesity treatments.</w:t>
      </w:r>
    </w:p>
    <w:p>
      <w:pPr>
        <w:spacing w:after="0" w:line="68" w:lineRule="exact"/>
        <w:rPr>
          <w:rFonts w:ascii="Times New Roman" w:cs="Times New Roman" w:eastAsia="Times New Roman" w:hAnsi="Times New Roman"/>
          <w:sz w:val="18"/>
          <w:szCs w:val="18"/>
          <w:color w:val="auto"/>
        </w:rPr>
      </w:pPr>
    </w:p>
    <w:p>
      <w:pPr>
        <w:ind w:left="760" w:right="120" w:hanging="378"/>
        <w:spacing w:after="0" w:line="26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Completed two equity offerings for total gross proceeds of approximately $20.0 million. </w:t>
      </w:r>
      <w:r>
        <w:rPr>
          <w:rFonts w:ascii="Times New Roman" w:cs="Times New Roman" w:eastAsia="Times New Roman" w:hAnsi="Times New Roman"/>
          <w:sz w:val="18"/>
          <w:szCs w:val="18"/>
          <w:color w:val="auto"/>
        </w:rPr>
        <w:t>In equity offerings in July and October 2024, Rani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the sale and issuance of Class A common stock, pre-funded warrants to purchase Class A common stock, and warrants to purchase Class A common stock, to an institutional investor for total gross proceeds of approximately $20.0 million, excluding any potential proceeds from the exercise of warrants,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Near-Term Milestone Expectations:</w:t>
      </w:r>
    </w:p>
    <w:p>
      <w:pPr>
        <w:spacing w:after="0" w:line="12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1 clinical trial of RT-114 containing a GLP-1/GLP-2 dual agonist for the treatment of obesity expected in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117" w:lineRule="exact"/>
        <w:rPr>
          <w:sz w:val="20"/>
          <w:szCs w:val="20"/>
          <w:color w:val="auto"/>
        </w:rPr>
      </w:pPr>
    </w:p>
    <w:p>
      <w:pPr>
        <w:ind w:left="760" w:right="180" w:hanging="378"/>
        <w:spacing w:after="0" w:line="26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as of September 30, 2024 totaled $30.4 million, compared to $48.5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2023. Rani expects its cash, cash equivalents and marketable securities to be sufficient to fund its operations into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122" w:lineRule="exact"/>
        <w:rPr>
          <w:sz w:val="20"/>
          <w:szCs w:val="20"/>
          <w:color w:val="auto"/>
        </w:rPr>
      </w:pPr>
    </w:p>
    <w:p>
      <w:pPr>
        <w:ind w:left="760" w:right="140" w:hanging="378"/>
        <w:spacing w:after="0" w:line="25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for the three months ended September 30, 2024 were $6.2 million, compared to $11.2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2023. The decrease of $5.0 million in research and development expenses in the three months ended September 30, 2024, as compared to the same period in 2023, was primarily attributed to lower compensation costs of $1.9 million due to reduction in workforce, $2.7 million reduction in third-party services and $0.4 million reduction in materials and supplies due to the timing of certain preclinical and clinical studies.</w:t>
      </w:r>
    </w:p>
    <w:p>
      <w:pPr>
        <w:spacing w:after="0" w:line="71" w:lineRule="exact"/>
        <w:rPr>
          <w:rFonts w:ascii="Times New Roman" w:cs="Times New Roman" w:eastAsia="Times New Roman" w:hAnsi="Times New Roman"/>
          <w:sz w:val="18"/>
          <w:szCs w:val="18"/>
          <w:color w:val="auto"/>
        </w:rPr>
      </w:pPr>
    </w:p>
    <w:p>
      <w:pPr>
        <w:ind w:left="760" w:hanging="378"/>
        <w:spacing w:after="0" w:line="25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three months ended September 30, 2024 were $5.6 million, compared to $6.6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2023. The decrease of $1.0 million in general and administrative expenses in the three months ended September 30, 2024, as compared to the same period in 2023, was primarily attributed to lower compensation costs of $0.5 million due to reduction in workforce, $0.4 million reduction in third-party services due to lower directors and officers insurance premiums and $0.3 million reduction in other costs, offset by an increase in facility costs of $0.2 million due to the lease in Fremont, California.</w:t>
      </w:r>
    </w:p>
    <w:p>
      <w:pPr>
        <w:spacing w:after="0" w:line="71" w:lineRule="exact"/>
        <w:rPr>
          <w:rFonts w:ascii="Times New Roman" w:cs="Times New Roman" w:eastAsia="Times New Roman" w:hAnsi="Times New Roman"/>
          <w:sz w:val="18"/>
          <w:szCs w:val="18"/>
          <w:color w:val="auto"/>
        </w:rPr>
      </w:pPr>
    </w:p>
    <w:p>
      <w:pPr>
        <w:ind w:left="760" w:right="20" w:hanging="378"/>
        <w:spacing w:after="0" w:line="26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months ended September 30, 2024 was $12.7 million, compared to $18.3 million for the same period in 2023,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stock-based compensation expense of $4.1 million for the three months ended September 30, 2024, compared to $5.0 million for the same period in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Rani Therapeutics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 For more information, visit ranitherapeutics.com.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initiation of a Phase 1 trial of RT-114 in 2025, the potential of the RaniPill® platform to contribute to the GLP-1 receptor agonist space and broader obesity therapeutics market, the potential of the RaniPill® platform to enable oral delivery of multiple obesity treatments. the sufficiency of Rani’s cash reserves, the timing and extent of its expenses, and future financial performance. Because such statements are subject to risks and uncertainties, actual results may differ materially from those expressed or implied by such forward-looking statements. Words such as “intend,” “looking ahead,” “potential,” “expect”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2023,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investors@ranitherapeutics.com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r>
        <w:rPr>
          <w:rFonts w:ascii="Times New Roman" w:cs="Times New Roman" w:eastAsia="Times New Roman" w:hAnsi="Times New Roman"/>
          <w:sz w:val="18"/>
          <w:szCs w:val="18"/>
          <w:color w:val="auto"/>
        </w:rPr>
        <w:t> </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43,540</w:t>
            </w:r>
          </w:p>
        </w:tc>
        <w:tc>
          <w:tcPr>
            <w:tcW w:w="10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37,765</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- 800,000 shares authorized; 29,807 and 26,036 issued and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 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1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B common stock, $0.0001 par value - 40,000 shares authorized; 24,116 issued and outstanding as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September 30, 2024 and December 31, 2023</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September 30, 2024 and December 31, 2023</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(93,960 )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(72,889 )</w:t>
            </w:r>
          </w:p>
        </w:tc>
      </w:tr>
      <w:tr>
        <w:trPr>
          <w:trHeight w:val="237"/>
        </w:trPr>
        <w:tc>
          <w:tcPr>
            <w:tcW w:w="77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stockholders' equity attributable to Rani Therapeutics Holdings, Inc.</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tcPr>
          <w:p>
            <w:pPr>
              <w:spacing w:after="0"/>
              <w:rPr>
                <w:sz w:val="20"/>
                <w:szCs w:val="20"/>
                <w:color w:val="auto"/>
              </w:rPr>
            </w:pPr>
          </w:p>
        </w:tc>
      </w:tr>
      <w:tr>
        <w:trPr>
          <w:trHeight w:val="27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43,540</w:t>
            </w:r>
          </w:p>
        </w:tc>
        <w:tc>
          <w:tcPr>
            <w:tcW w:w="100" w:type="dxa"/>
            <w:vAlign w:val="bottom"/>
            <w:shd w:val="clear" w:color="auto" w:fill="CFF0FC"/>
          </w:tcPr>
          <w:p>
            <w:pPr>
              <w:spacing w:after="0"/>
              <w:rPr>
                <w:sz w:val="24"/>
                <w:szCs w:val="24"/>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100" w:type="dxa"/>
            <w:vAlign w:val="bottom"/>
            <w:shd w:val="clear" w:color="auto" w:fill="CFF0FC"/>
          </w:tcPr>
          <w:p>
            <w:pPr>
              <w:spacing w:after="0"/>
              <w:rPr>
                <w:sz w:val="24"/>
                <w:szCs w:val="24"/>
                <w:color w:val="auto"/>
              </w:rPr>
            </w:pPr>
          </w:p>
        </w:tc>
      </w:tr>
      <w:tr>
        <w:trPr>
          <w:trHeight w:val="1612"/>
        </w:trPr>
        <w:tc>
          <w:tcPr>
            <w:tcW w:w="772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3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-6034405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-6034405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-5408295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-5408295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-4139565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-1396365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(11,799 )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(17,855 )</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(38,356 )</w:t>
            </w: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(52,665 )</w:t>
            </w: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1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(1,337 )</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(3,909 )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(3,789 )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(12,722 )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(18,332 )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(40,862 )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(53,828 )</w:t>
            </w:r>
          </w:p>
        </w:tc>
        <w:tc>
          <w:tcPr>
            <w:tcW w:w="0" w:type="dxa"/>
            <w:vAlign w:val="bottom"/>
          </w:tcPr>
          <w:p>
            <w:pPr>
              <w:spacing w:after="0"/>
              <w:rPr>
                <w:sz w:val="1"/>
                <w:szCs w:val="1"/>
                <w:color w:val="auto"/>
              </w:rPr>
            </w:pPr>
          </w:p>
        </w:tc>
      </w:tr>
      <w:tr>
        <w:trPr>
          <w:trHeight w:val="239"/>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(5,939 )</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(9,135 )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(19,791 )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(26,956 )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(6,783 )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(9,197 )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(21,071 )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(26,872 )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(0.24 )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(0.36 )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(0.78 )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07"/>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Holdings, Inc., basic and diluted</w:t>
            </w:r>
          </w:p>
        </w:tc>
        <w:tc>
          <w:tcPr>
            <w:tcW w:w="16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16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28,836</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25,552</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27,071</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612"/>
        </w:trPr>
        <w:tc>
          <w:tcPr>
            <w:tcW w:w="5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-2811145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-2811145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-2811145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-1542415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-1525270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-1542415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-1525270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-1542415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-1525270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-1071245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-1053465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-1071245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-1053465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-1071245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-1053465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2024-11-14T07:14:26Z</dcterms:created>
  <dcterms:modified xsi:type="dcterms:W3CDTF">2024-11-14T07:14:26Z</dcterms:modified>
</cp:coreProperties>
</file>