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11"/>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Quiroga Moreno Isidoro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1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Rani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RANI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4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14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AVENIDA PRESIDENTE RIESCO</w:t>
            </w:r>
          </w:p>
        </w:tc>
        <w:tc>
          <w:tcPr>
            <w:tcW w:w="1120" w:type="dxa"/>
            <w:vAlign w:val="bottom"/>
            <w:gridSpan w:val="6"/>
          </w:tcPr>
          <w:p>
            <w:pPr>
              <w:ind w:left="80"/>
              <w:spacing w:after="0"/>
              <w:rPr>
                <w:sz w:val="20"/>
                <w:szCs w:val="20"/>
                <w:color w:val="auto"/>
              </w:rPr>
            </w:pPr>
            <w:r>
              <w:rPr>
                <w:rFonts w:ascii="Arial" w:cs="Arial" w:eastAsia="Arial" w:hAnsi="Arial"/>
                <w:sz w:val="17"/>
                <w:szCs w:val="17"/>
                <w:color w:val="0000FF"/>
              </w:rPr>
              <w:t>07/30/2021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5711 OFICINA 1603, LAS CONDES</w:t>
            </w: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gridSpan w:val="11"/>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13"/>
            <w:vMerge w:val="continue"/>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3"/>
          </w:tcPr>
          <w:p>
            <w:pPr>
              <w:ind w:left="20"/>
              <w:spacing w:after="0" w:line="120" w:lineRule="exact"/>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220" w:type="dxa"/>
            <w:vAlign w:val="bottom"/>
          </w:tcPr>
          <w:p>
            <w:pPr>
              <w:ind w:left="40"/>
              <w:spacing w:after="0"/>
              <w:rPr>
                <w:sz w:val="20"/>
                <w:szCs w:val="20"/>
                <w:color w:val="auto"/>
              </w:rPr>
            </w:pPr>
            <w:r>
              <w:rPr>
                <w:rFonts w:ascii="Arial" w:cs="Arial" w:eastAsia="Arial" w:hAnsi="Arial"/>
                <w:sz w:val="17"/>
                <w:szCs w:val="17"/>
                <w:color w:val="0000FF"/>
                <w:w w:val="80"/>
              </w:rPr>
              <w:t>F3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vMerge w:val="restart"/>
          </w:tcPr>
          <w:p>
            <w:pPr>
              <w:ind w:left="60"/>
              <w:spacing w:after="0"/>
              <w:rPr>
                <w:sz w:val="20"/>
                <w:szCs w:val="20"/>
                <w:color w:val="auto"/>
              </w:rPr>
            </w:pPr>
            <w:r>
              <w:rPr>
                <w:rFonts w:ascii="Arial" w:cs="Arial" w:eastAsia="Arial" w:hAnsi="Arial"/>
                <w:sz w:val="17"/>
                <w:szCs w:val="17"/>
                <w:color w:val="0000FF"/>
                <w:w w:val="87"/>
              </w:rPr>
              <w:t>X</w:t>
            </w: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26"/>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4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ind w:left="2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4"/>
                <w:szCs w:val="14"/>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3"/>
            <w:vMerge w:val="continue"/>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287"/>
              <w:spacing w:after="0"/>
              <w:rPr>
                <w:sz w:val="20"/>
                <w:szCs w:val="20"/>
                <w:color w:val="auto"/>
              </w:rPr>
            </w:pPr>
            <w:r>
              <w:rPr>
                <w:rFonts w:ascii="Arial" w:cs="Arial" w:eastAsia="Arial" w:hAnsi="Arial"/>
                <w:sz w:val="17"/>
                <w:szCs w:val="17"/>
                <w:color w:val="0000FF"/>
                <w:w w:val="91"/>
              </w:rPr>
              <w:t>07/30/2021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40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158,904</w:t>
            </w:r>
          </w:p>
        </w:tc>
        <w:tc>
          <w:tcPr>
            <w:tcW w:w="100" w:type="dxa"/>
            <w:vAlign w:val="bottom"/>
          </w:tcPr>
          <w:p>
            <w:pPr>
              <w:spacing w:after="0"/>
              <w:rPr>
                <w:sz w:val="18"/>
                <w:szCs w:val="18"/>
                <w:color w:val="auto"/>
              </w:rPr>
            </w:pPr>
          </w:p>
        </w:tc>
        <w:tc>
          <w:tcPr>
            <w:tcW w:w="1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8"/>
                <w:szCs w:val="18"/>
                <w:color w:val="auto"/>
              </w:rPr>
            </w:pPr>
          </w:p>
        </w:tc>
        <w:tc>
          <w:tcPr>
            <w:tcW w:w="80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11.2525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restart"/>
          </w:tcPr>
          <w:p>
            <w:pPr>
              <w:jc w:val="center"/>
              <w:ind w:right="540"/>
              <w:spacing w:after="0"/>
              <w:rPr>
                <w:sz w:val="20"/>
                <w:szCs w:val="20"/>
                <w:color w:val="auto"/>
              </w:rPr>
            </w:pPr>
            <w:r>
              <w:rPr>
                <w:rFonts w:ascii="Arial" w:cs="Arial" w:eastAsia="Arial" w:hAnsi="Arial"/>
                <w:sz w:val="17"/>
                <w:szCs w:val="17"/>
                <w:color w:val="0000FF"/>
                <w:w w:val="92"/>
              </w:rPr>
              <w:t>5,431,654</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held through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4"/>
            <w:vMerge w:val="restart"/>
          </w:tcPr>
          <w:p>
            <w:pPr>
              <w:ind w:left="12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287"/>
              <w:spacing w:after="0"/>
              <w:rPr>
                <w:sz w:val="20"/>
                <w:szCs w:val="20"/>
                <w:color w:val="auto"/>
              </w:rPr>
            </w:pPr>
            <w:r>
              <w:rPr>
                <w:rFonts w:ascii="Arial" w:cs="Arial" w:eastAsia="Arial" w:hAnsi="Arial"/>
                <w:sz w:val="17"/>
                <w:szCs w:val="17"/>
                <w:color w:val="0000FF"/>
                <w:w w:val="91"/>
              </w:rPr>
              <w:t>08/03/2021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40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2,727,273</w:t>
            </w:r>
          </w:p>
        </w:tc>
        <w:tc>
          <w:tcPr>
            <w:tcW w:w="100" w:type="dxa"/>
            <w:vAlign w:val="bottom"/>
          </w:tcPr>
          <w:p>
            <w:pPr>
              <w:spacing w:after="0"/>
              <w:rPr>
                <w:sz w:val="18"/>
                <w:szCs w:val="18"/>
                <w:color w:val="auto"/>
              </w:rPr>
            </w:pPr>
          </w:p>
        </w:tc>
        <w:tc>
          <w:tcPr>
            <w:tcW w:w="1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restart"/>
          </w:tcPr>
          <w:p>
            <w:pPr>
              <w:jc w:val="center"/>
              <w:ind w:right="540"/>
              <w:spacing w:after="0"/>
              <w:rPr>
                <w:sz w:val="20"/>
                <w:szCs w:val="20"/>
                <w:color w:val="auto"/>
              </w:rPr>
            </w:pPr>
            <w:r>
              <w:rPr>
                <w:rFonts w:ascii="Arial" w:cs="Arial" w:eastAsia="Arial" w:hAnsi="Arial"/>
                <w:sz w:val="17"/>
                <w:szCs w:val="17"/>
                <w:color w:val="0000FF"/>
                <w:w w:val="92"/>
              </w:rPr>
              <w:t>8,158,927</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held through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4"/>
            <w:vMerge w:val="restart"/>
          </w:tcPr>
          <w:p>
            <w:pPr>
              <w:ind w:left="12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jc w:val="center"/>
              <w:ind w:left="287"/>
              <w:spacing w:after="0"/>
              <w:rPr>
                <w:sz w:val="20"/>
                <w:szCs w:val="20"/>
                <w:color w:val="auto"/>
              </w:rPr>
            </w:pPr>
            <w:r>
              <w:rPr>
                <w:rFonts w:ascii="Arial" w:cs="Arial" w:eastAsia="Arial" w:hAnsi="Arial"/>
                <w:sz w:val="17"/>
                <w:szCs w:val="17"/>
                <w:color w:val="0000FF"/>
                <w:w w:val="91"/>
              </w:rPr>
              <w:t>08/03/2021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60"/>
              <w:spacing w:after="0" w:line="213" w:lineRule="exact"/>
              <w:rPr>
                <w:sz w:val="20"/>
                <w:szCs w:val="20"/>
                <w:color w:val="auto"/>
              </w:rPr>
            </w:pPr>
            <w:r>
              <w:rPr>
                <w:rFonts w:ascii="Arial" w:cs="Arial" w:eastAsia="Arial" w:hAnsi="Arial"/>
                <w:sz w:val="24"/>
                <w:szCs w:val="24"/>
                <w:color w:val="0000FF"/>
                <w:vertAlign w:val="subscript"/>
              </w:rPr>
              <w:t>P</w:t>
            </w:r>
            <w:r>
              <w:rPr>
                <w:rFonts w:ascii="Arial" w:cs="Arial" w:eastAsia="Arial" w:hAnsi="Arial"/>
                <w:sz w:val="11"/>
                <w:szCs w:val="11"/>
                <w:color w:val="008000"/>
              </w:rPr>
              <w:t>(3)</w:t>
            </w: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3,572,727</w:t>
            </w: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7"/>
                <w:szCs w:val="17"/>
                <w:color w:val="0000FF"/>
                <w:w w:val="91"/>
              </w:rPr>
              <w:t>11,731,654</w:t>
            </w:r>
          </w:p>
        </w:tc>
        <w:tc>
          <w:tcPr>
            <w:tcW w:w="140" w:type="dxa"/>
            <w:vAlign w:val="bottom"/>
          </w:tcPr>
          <w:p>
            <w:pPr>
              <w:ind w:left="20"/>
              <w:spacing w:after="0"/>
              <w:rPr>
                <w:sz w:val="20"/>
                <w:szCs w:val="20"/>
                <w:color w:val="auto"/>
              </w:rPr>
            </w:pPr>
            <w:r>
              <w:rPr>
                <w:rFonts w:ascii="Arial" w:cs="Arial" w:eastAsia="Arial" w:hAnsi="Arial"/>
                <w:sz w:val="17"/>
                <w:szCs w:val="17"/>
                <w:color w:val="0000FF"/>
              </w:rPr>
              <w:t>I</w:t>
            </w: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held 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7"/>
                <w:szCs w:val="17"/>
                <w:color w:val="0000FF"/>
              </w:rPr>
              <w:t>South Lake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0000FF"/>
              </w:rPr>
              <w:t>One 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40" w:type="dxa"/>
            <w:vAlign w:val="bottom"/>
            <w:gridSpan w:val="2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2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12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4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Quiroga Moreno Isidoro</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AVENIDA PRESIDENTE RIESCO</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5711 OFICINA 1603, LAS CONDES</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0000FF"/>
              </w:rPr>
              <w:t>F3</w:t>
            </w:r>
          </w:p>
        </w:tc>
        <w:tc>
          <w:tcPr>
            <w:tcW w:w="1340" w:type="dxa"/>
            <w:vAlign w:val="bottom"/>
          </w:tcPr>
          <w:p>
            <w:pPr>
              <w:ind w:left="50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South Cone Investments Limited Partnership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6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AVENIDA PRESIDENTE RIESCO</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w w:val="98"/>
              </w:rPr>
              <w:t>5711 OFICINA 1603, LAS CONDES</w:t>
            </w: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SANTIAGO</w:t>
            </w:r>
          </w:p>
        </w:tc>
        <w:tc>
          <w:tcPr>
            <w:tcW w:w="1580" w:type="dxa"/>
            <w:vAlign w:val="bottom"/>
          </w:tcPr>
          <w:p>
            <w:pPr>
              <w:ind w:left="260"/>
              <w:spacing w:after="0"/>
              <w:rPr>
                <w:sz w:val="20"/>
                <w:szCs w:val="20"/>
                <w:color w:val="auto"/>
              </w:rPr>
            </w:pPr>
            <w:r>
              <w:rPr>
                <w:rFonts w:ascii="Arial" w:cs="Arial" w:eastAsia="Arial" w:hAnsi="Arial"/>
                <w:sz w:val="17"/>
                <w:szCs w:val="17"/>
                <w:color w:val="0000FF"/>
              </w:rPr>
              <w:t>F3</w:t>
            </w:r>
          </w:p>
        </w:tc>
        <w:tc>
          <w:tcPr>
            <w:tcW w:w="1440" w:type="dxa"/>
            <w:vAlign w:val="bottom"/>
          </w:tcPr>
          <w:p>
            <w:pPr>
              <w:ind w:left="80"/>
              <w:spacing w:after="0"/>
              <w:rPr>
                <w:sz w:val="20"/>
                <w:szCs w:val="20"/>
                <w:color w:val="auto"/>
              </w:rPr>
            </w:pPr>
            <w:r>
              <w:rPr>
                <w:rFonts w:ascii="Arial" w:cs="Arial" w:eastAsia="Arial" w:hAnsi="Arial"/>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6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37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3747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Aequanimitas Limited Partnership ("Aequanimitas") acquired 158,904 shares of the Issuer's Class A Common Stock in a single transaction in the open market at a price of $11.2525 per share of Class A Common Stock for an aggregate purchase price of $1,788,067.26.</w:t>
      </w:r>
    </w:p>
    <w:p>
      <w:pPr>
        <w:spacing w:after="0" w:line="15" w:lineRule="exact"/>
        <w:rPr>
          <w:rFonts w:ascii="Arial" w:cs="Arial" w:eastAsia="Arial" w:hAnsi="Arial"/>
          <w:sz w:val="13"/>
          <w:szCs w:val="13"/>
          <w:color w:val="008000"/>
        </w:rPr>
      </w:pPr>
    </w:p>
    <w:p>
      <w:pPr>
        <w:ind w:right="2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Issuer's initial public offering, Aequanimitas acquired, at a price of $11.00 per share of Class A Common Stock, 2,727,273 shares of the Issuer's Class A Common Stock for an aggregate purchase price of $30,000,003.</w:t>
      </w:r>
    </w:p>
    <w:p>
      <w:pPr>
        <w:spacing w:after="0" w:line="15" w:lineRule="exact"/>
        <w:rPr>
          <w:rFonts w:ascii="Arial" w:cs="Arial" w:eastAsia="Arial" w:hAnsi="Arial"/>
          <w:sz w:val="13"/>
          <w:szCs w:val="13"/>
          <w:color w:val="008000"/>
        </w:rPr>
      </w:pPr>
    </w:p>
    <w:p>
      <w:pPr>
        <w:ind w:right="16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Issuer's initial public offering, South Lake One LLC ("South Lake") acquired, at a price of $11.00 per share of Class A Common Stock, 3,572,727 shares of the Issuer's Class A Common Stock for an aggregate purchase price of $39,299,997.</w:t>
      </w:r>
    </w:p>
    <w:p>
      <w:pPr>
        <w:spacing w:after="0" w:line="15" w:lineRule="exact"/>
        <w:rPr>
          <w:rFonts w:ascii="Arial" w:cs="Arial" w:eastAsia="Arial" w:hAnsi="Arial"/>
          <w:sz w:val="13"/>
          <w:szCs w:val="13"/>
          <w:color w:val="008000"/>
        </w:rPr>
      </w:pPr>
    </w:p>
    <w:p>
      <w:pPr>
        <w:ind w:right="220"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Isidoro Quiroga Moreno indirectly controls Aequanimitas, which has sole voting power and sole dispositive power with respect to all of the shares of the Issuer's Class A Common Stock held by it. Aequanimitas is controlled by its general partner, South Lake Three LLC, which is wholly owned by South Cone Investments Limited Partnership ("South Cone"), which is controlled by its general partner Inversiones El Aromo Limitada ("El Aromo"), which is controlled by Isidoro Quiroga Moreno (who directly owns approximately 71% of the issued and outstanding capital stock of El Aromo).</w:t>
      </w:r>
    </w:p>
    <w:p>
      <w:pPr>
        <w:spacing w:after="0" w:line="8"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Isidoro Quiroga Moreno indirectly controls South Lake, which has sole voting power and sole dispositive power with respect to all of the shares of the Issuer's Class A Common Stock held by it. South Lake is wholly owned by South Cone, which is controlled by its general partner El Aromo, which is controlled by Isidoro Quiroga Moreno (who directly owns approximately 71% of the issued and outstanding capital stock of El Aromo).</w:t>
      </w:r>
    </w:p>
    <w:p>
      <w:pPr>
        <w:sectPr>
          <w:pgSz w:w="11900" w:h="16838" w:orient="portrait"/>
          <w:cols w:equalWidth="0" w:num="1">
            <w:col w:w="10900"/>
          </w:cols>
          <w:pgMar w:left="500" w:top="312" w:right="49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Isidoro Quiroga Cortes;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76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and /s/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2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Gonzalez, Managers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2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Inversiones El Aromo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Limitada, as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4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and on behalf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1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8540" w:space="200"/>
            <w:col w:w="2160"/>
          </w:cols>
          <w:pgMar w:left="500" w:top="312"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312"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2" Type="http://schemas.openxmlformats.org/officeDocument/2006/relationships/hyperlink" Target="http://www.sec.gov/cgi-bin/browse-edgar?action=getcompany&amp;CIK=0001794307"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876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2021-08-03T17:00:34Z</dcterms:created>
  <dcterms:modified xsi:type="dcterms:W3CDTF">2021-08-03T17:00:34Z</dcterms:modified>
</cp:coreProperties>
</file>