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586740</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600075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61595</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80010</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7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7" w:lineRule="exact"/>
        <w:rPr>
          <w:sz w:val="24"/>
          <w:szCs w:val="24"/>
          <w:color w:val="auto"/>
        </w:rPr>
      </w:pPr>
    </w:p>
    <w:p>
      <w:pPr>
        <w:ind w:left="960" w:hanging="312"/>
        <w:spacing w:after="0"/>
        <w:tabs>
          <w:tab w:leader="none" w:pos="9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7" w:lineRule="exact"/>
        <w:rPr>
          <w:sz w:val="24"/>
          <w:szCs w:val="24"/>
          <w:color w:val="auto"/>
        </w:rPr>
      </w:pPr>
    </w:p>
    <w:p>
      <w:pPr>
        <w:ind w:left="2320" w:right="759" w:hanging="1672"/>
        <w:spacing w:after="0" w:line="384" w:lineRule="auto"/>
        <w:tabs>
          <w:tab w:leader="none" w:pos="9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________________ to ________________</w:t>
      </w:r>
    </w:p>
    <w:p>
      <w:pPr>
        <w:ind w:left="33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Commission File Number: 001-40672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RANI THERAPEUTICS HOLDINGS,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67310</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77" w:lineRule="exact"/>
        <w:rPr>
          <w:sz w:val="24"/>
          <w:szCs w:val="24"/>
          <w:color w:val="auto"/>
        </w:rPr>
      </w:pPr>
    </w:p>
    <w:tbl>
      <w:tblPr>
        <w:tblLayout w:type="fixed"/>
        <w:tblInd w:w="2280" w:type="dxa"/>
        <w:tblCellMar>
          <w:top w:w="0" w:type="dxa"/>
          <w:left w:w="0" w:type="dxa"/>
          <w:bottom w:w="0" w:type="dxa"/>
          <w:right w:w="0" w:type="dxa"/>
        </w:tblCellMar>
      </w:tblPr>
      <w:tr>
        <w:trPr>
          <w:trHeight w:val="185"/>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86-3114789</w:t>
            </w:r>
          </w:p>
        </w:tc>
      </w:tr>
    </w:tbl>
    <w:p>
      <w:pPr>
        <w:spacing w:after="0" w:line="1" w:lineRule="exact"/>
        <w:rPr>
          <w:sz w:val="24"/>
          <w:szCs w:val="24"/>
          <w:color w:val="auto"/>
        </w:rPr>
      </w:pPr>
    </w:p>
    <w:p>
      <w:pPr>
        <w:sectPr>
          <w:pgSz w:w="11900" w:h="16838" w:orient="portrait"/>
          <w:cols w:equalWidth="0" w:num="1">
            <w:col w:w="9019"/>
          </w:cols>
          <w:pgMar w:left="1440" w:top="1046" w:right="1440" w:bottom="1440" w:gutter="0" w:footer="0" w:header="0"/>
        </w:sectPr>
      </w:pPr>
    </w:p>
    <w:p>
      <w:pPr>
        <w:ind w:left="1940"/>
        <w:spacing w:after="0" w:line="224" w:lineRule="auto"/>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92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2051 Ringwood Avenue</w:t>
      </w:r>
    </w:p>
    <w:p>
      <w:pPr>
        <w:spacing w:after="0" w:line="12"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San Jose, California</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8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95131</w:t>
      </w:r>
    </w:p>
    <w:p>
      <w:pPr>
        <w:spacing w:after="0" w:line="24" w:lineRule="exact"/>
        <w:rPr>
          <w:sz w:val="24"/>
          <w:szCs w:val="24"/>
          <w:color w:val="auto"/>
        </w:rPr>
      </w:pPr>
    </w:p>
    <w:p>
      <w:pPr>
        <w:sectPr>
          <w:pgSz w:w="11900" w:h="16838" w:orient="portrait"/>
          <w:cols w:equalWidth="0" w:num="2">
            <w:col w:w="5320" w:space="720"/>
            <w:col w:w="2979"/>
          </w:cols>
          <w:pgMar w:left="1440" w:top="1046" w:right="1440" w:bottom="1440" w:gutter="0" w:footer="0" w:header="0"/>
          <w:type w:val="continuous"/>
        </w:sect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9"/>
          <w:szCs w:val="9"/>
          <w:b w:val="1"/>
          <w:bCs w:val="1"/>
          <w:color w:val="auto"/>
        </w:rPr>
        <w:t>(Zip Code)</w:t>
      </w:r>
    </w:p>
    <w:p>
      <w:pPr>
        <w:spacing w:after="0" w:line="44"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58"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59"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920" w:type="dxa"/>
            <w:vAlign w:val="bottom"/>
            <w:vMerge w:val="restart"/>
          </w:tcPr>
          <w:p>
            <w:pPr>
              <w:ind w:left="102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0"/>
                <w:szCs w:val="10"/>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1"/>
                <w:szCs w:val="11"/>
                <w:color w:val="auto"/>
              </w:rPr>
            </w:pPr>
          </w:p>
        </w:tc>
        <w:tc>
          <w:tcPr>
            <w:tcW w:w="3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Class A common stock, par value $0.0001 per share</w:t>
            </w: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RANI</w:t>
            </w:r>
          </w:p>
        </w:tc>
        <w:tc>
          <w:tcPr>
            <w:tcW w:w="80" w:type="dxa"/>
            <w:vAlign w:val="bottom"/>
          </w:tcPr>
          <w:p>
            <w:pPr>
              <w:spacing w:after="0"/>
              <w:rPr>
                <w:sz w:val="13"/>
                <w:szCs w:val="13"/>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69" w:lineRule="exact"/>
        <w:rPr>
          <w:sz w:val="24"/>
          <w:szCs w:val="24"/>
          <w:color w:val="auto"/>
        </w:rPr>
      </w:pPr>
    </w:p>
    <w:p>
      <w:pPr>
        <w:jc w:val="both"/>
        <w:ind w:left="640" w:right="73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9" w:lineRule="exact"/>
        <w:rPr>
          <w:sz w:val="24"/>
          <w:szCs w:val="24"/>
          <w:color w:val="auto"/>
        </w:rPr>
      </w:pPr>
    </w:p>
    <w:p>
      <w:pPr>
        <w:jc w:val="both"/>
        <w:ind w:left="640" w:right="75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9" w:lineRule="exact"/>
        <w:rPr>
          <w:sz w:val="24"/>
          <w:szCs w:val="24"/>
          <w:color w:val="auto"/>
        </w:rPr>
      </w:pPr>
    </w:p>
    <w:p>
      <w:pPr>
        <w:ind w:left="640" w:right="919" w:firstLine="412"/>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39" w:lineRule="exact"/>
        <w:rPr>
          <w:sz w:val="24"/>
          <w:szCs w:val="24"/>
          <w:color w:val="auto"/>
        </w:rPr>
      </w:pPr>
    </w:p>
    <w:p>
      <w:pPr>
        <w:ind w:left="640" w:right="759" w:firstLine="412"/>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1060"/>
        <w:spacing w:after="0" w:line="150" w:lineRule="exact"/>
        <w:tabs>
          <w:tab w:leader="none" w:pos="7040" w:val="left"/>
          <w:tab w:leader="none" w:pos="75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93" w:lineRule="exact"/>
        <w:rPr>
          <w:sz w:val="24"/>
          <w:szCs w:val="24"/>
          <w:color w:val="auto"/>
        </w:rPr>
      </w:pPr>
    </w:p>
    <w:p>
      <w:pPr>
        <w:ind w:left="640" w:right="799" w:firstLine="412"/>
        <w:spacing w:after="0" w:line="296" w:lineRule="auto"/>
        <w:rPr>
          <w:sz w:val="20"/>
          <w:szCs w:val="20"/>
          <w:color w:val="auto"/>
        </w:rPr>
      </w:pPr>
      <w:r>
        <w:rPr>
          <w:rFonts w:ascii="Times New Roman" w:cs="Times New Roman" w:eastAsia="Times New Roman" w:hAnsi="Times New Roman"/>
          <w:sz w:val="12"/>
          <w:szCs w:val="12"/>
          <w:color w:val="auto"/>
        </w:rPr>
        <w:t>As of April 30, 2026, the registrant had 99,912,515 shares of Class A common stock, $0.0001 par value per share, outstanding, 23,970,359 shares of Class B common stock, $0.0001 par value per share, outstanding and no shares of Class C common stock, $0.0001 par value per share, outstanding. Certain holders of units of the registrant’s consolidated subsidiary, Rani Therapeutics, LLC, who do not hold shares of the registrant’s Class B common stock, can exchange their units of Rani Therapeutics, LLC for 1,124,194 shares of the registrant’s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680085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72390</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85725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1046" w:right="1440" w:bottom="1440" w:gutter="0" w:footer="0" w:header="0"/>
          <w:type w:val="continuous"/>
        </w:sectPr>
      </w:pPr>
    </w:p>
    <w:bookmarkStart w:id="1" w:name="page2"/>
    <w:bookmarkEnd w:id="1"/>
    <w:tbl>
      <w:tblPr>
        <w:tblLayout w:type="fixed"/>
        <w:tblInd w:w="120" w:type="dxa"/>
        <w:tblCellMar>
          <w:top w:w="0" w:type="dxa"/>
          <w:left w:w="0" w:type="dxa"/>
          <w:bottom w:w="0" w:type="dxa"/>
          <w:right w:w="0" w:type="dxa"/>
        </w:tblCellMar>
      </w:tblPr>
      <w:tr>
        <w:trPr>
          <w:trHeight w:val="188"/>
        </w:trPr>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7720" w:type="dxa"/>
            <w:vAlign w:val="bottom"/>
            <w:gridSpan w:val="18"/>
            <w:vMerge w:val="restart"/>
          </w:tcPr>
          <w:p>
            <w:pPr>
              <w:ind w:left="520"/>
              <w:spacing w:after="0"/>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0"/>
        </w:trPr>
        <w:tc>
          <w:tcPr>
            <w:tcW w:w="7720" w:type="dxa"/>
            <w:vAlign w:val="bottom"/>
            <w:gridSpan w:val="18"/>
            <w:vMerge w:val="continue"/>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3</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3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FINANCIAL INFORMATION</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300" w:type="dxa"/>
            <w:vAlign w:val="bottom"/>
            <w:gridSpan w:val="3"/>
          </w:tcPr>
          <w:p>
            <w:pPr>
              <w:ind w:left="520"/>
              <w:spacing w:after="0" w:line="155" w:lineRule="exact"/>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5"/>
          </w:tcPr>
          <w:p>
            <w:pPr>
              <w:spacing w:after="0" w:line="155" w:lineRule="exact"/>
              <w:rPr>
                <w:sz w:val="20"/>
                <w:szCs w:val="20"/>
                <w:color w:val="auto"/>
              </w:rPr>
            </w:pPr>
            <w:r>
              <w:rPr>
                <w:rFonts w:ascii="Times New Roman" w:cs="Times New Roman" w:eastAsia="Times New Roman" w:hAnsi="Times New Roman"/>
                <w:sz w:val="14"/>
                <w:szCs w:val="14"/>
                <w:color w:val="0000FF"/>
              </w:rPr>
              <w:t>Financial Statements (Unaudited)</w:t>
            </w:r>
          </w:p>
        </w:tc>
        <w:tc>
          <w:tcPr>
            <w:tcW w:w="1060" w:type="dxa"/>
            <w:vAlign w:val="bottom"/>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Comprehensive Loss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Changes in Stockholders’ Equity</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300" w:type="dxa"/>
            <w:vAlign w:val="bottom"/>
            <w:gridSpan w:val="3"/>
            <w:vMerge w:val="continue"/>
          </w:tcPr>
          <w:p>
            <w:pPr>
              <w:spacing w:after="0"/>
              <w:rPr>
                <w:sz w:val="24"/>
                <w:szCs w:val="2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3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3"/>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20" w:type="dxa"/>
            <w:vAlign w:val="bottom"/>
            <w:gridSpan w:val="1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60" w:type="dxa"/>
            <w:vAlign w:val="bottom"/>
            <w:gridSpan w:val="2"/>
          </w:tcPr>
          <w:p>
            <w:pPr>
              <w:jc w:val="right"/>
              <w:ind w:right="520"/>
              <w:spacing w:after="0" w:line="152"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527"/>
        </w:trPr>
        <w:tc>
          <w:tcPr>
            <w:tcW w:w="5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 w:name="page3"/>
    <w:bookmarkEnd w:id="2"/>
    <w:p>
      <w:pPr>
        <w:ind w:left="1060" w:right="839" w:hanging="281"/>
        <w:spacing w:after="0" w:line="295" w:lineRule="auto"/>
        <w:rPr>
          <w:sz w:val="20"/>
          <w:szCs w:val="20"/>
          <w:color w:val="auto"/>
        </w:rPr>
      </w:pPr>
      <w:r>
        <w:rPr>
          <w:rFonts w:ascii="Times New Roman" w:cs="Times New Roman" w:eastAsia="Times New Roman" w:hAnsi="Times New Roman"/>
          <w:sz w:val="14"/>
          <w:szCs w:val="14"/>
          <w:i w:val="1"/>
          <w:iCs w:val="1"/>
          <w:color w:val="auto"/>
        </w:rPr>
        <w:t>Unless otherwise stated or the context otherwise requires, the terms “we,” “us,” and “our,” and similar references refer to Rani Therapeutics Holdings, Inc. (“Rani Holdings”) and its consolidated subsidiary, Rani Therapeutics, LLC (“Rani LLC”).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5" w:lineRule="exact"/>
        <w:rPr>
          <w:sz w:val="20"/>
          <w:szCs w:val="20"/>
          <w:color w:val="auto"/>
        </w:rPr>
      </w:pPr>
    </w:p>
    <w:p>
      <w:pPr>
        <w:ind w:left="640" w:right="779" w:firstLine="701"/>
        <w:spacing w:after="0" w:line="260" w:lineRule="auto"/>
        <w:rPr>
          <w:sz w:val="20"/>
          <w:szCs w:val="20"/>
          <w:color w:val="auto"/>
        </w:rPr>
      </w:pPr>
      <w:r>
        <w:rPr>
          <w:rFonts w:ascii="Times New Roman" w:cs="Times New Roman" w:eastAsia="Times New Roman" w:hAnsi="Times New Roman"/>
          <w:sz w:val="14"/>
          <w:szCs w:val="14"/>
          <w:color w:val="auto"/>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49" w:lineRule="exact"/>
        <w:rPr>
          <w:sz w:val="20"/>
          <w:szCs w:val="20"/>
          <w:color w:val="auto"/>
        </w:rPr>
      </w:pPr>
    </w:p>
    <w:p>
      <w:pPr>
        <w:ind w:left="640" w:right="699" w:firstLine="701"/>
        <w:spacing w:after="0" w:line="268"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spacing w:after="0" w:line="54" w:lineRule="exact"/>
        <w:rPr>
          <w:sz w:val="20"/>
          <w:szCs w:val="20"/>
          <w:color w:val="auto"/>
        </w:rPr>
      </w:pPr>
    </w:p>
    <w:p>
      <w:pPr>
        <w:ind w:left="1680" w:right="79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selectively enter into strategic partnerships and the expected potential benefits thereof, including our collaborations with Chugai Pharmaceutical Co. Ltd. and ProGen Co. Ltd.;</w:t>
      </w:r>
    </w:p>
    <w:p>
      <w:pPr>
        <w:spacing w:after="0" w:line="37" w:lineRule="exact"/>
        <w:rPr>
          <w:rFonts w:ascii="Times New Roman" w:cs="Times New Roman" w:eastAsia="Times New Roman" w:hAnsi="Times New Roman"/>
          <w:sz w:val="14"/>
          <w:szCs w:val="14"/>
          <w:color w:val="auto"/>
        </w:rPr>
      </w:pPr>
    </w:p>
    <w:p>
      <w:pPr>
        <w:ind w:left="1680" w:right="79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and focus of our current and future clinical trials in the United States and abroad, and the reporting of data from those trials;</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product candidates into and successfully complete clinical trials;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characteristics, safety, efficacy, and therapeutic effects of our product candidates;</w:t>
      </w:r>
    </w:p>
    <w:p>
      <w:pPr>
        <w:spacing w:after="0" w:line="96" w:lineRule="exact"/>
        <w:rPr>
          <w:rFonts w:ascii="Times New Roman" w:cs="Times New Roman" w:eastAsia="Times New Roman" w:hAnsi="Times New Roman"/>
          <w:sz w:val="14"/>
          <w:szCs w:val="14"/>
          <w:color w:val="auto"/>
        </w:rPr>
      </w:pPr>
    </w:p>
    <w:p>
      <w:pPr>
        <w:ind w:left="1680" w:right="89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and ability to successfully manufacture and supply our product candidates for clinical trials and for commercial use, if approved;</w:t>
      </w:r>
    </w:p>
    <w:p>
      <w:pPr>
        <w:spacing w:after="0" w:line="37" w:lineRule="exact"/>
        <w:rPr>
          <w:rFonts w:ascii="Times New Roman" w:cs="Times New Roman" w:eastAsia="Times New Roman" w:hAnsi="Times New Roman"/>
          <w:sz w:val="14"/>
          <w:szCs w:val="14"/>
          <w:color w:val="auto"/>
        </w:rPr>
      </w:pPr>
    </w:p>
    <w:p>
      <w:pPr>
        <w:ind w:left="1680" w:right="719" w:hanging="341"/>
        <w:spacing w:after="0" w:line="274"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w:t>
      </w:r>
    </w:p>
    <w:p>
      <w:pPr>
        <w:spacing w:after="0" w:line="50"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further develop and expand our platform technology;</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our technology platform to generate and advance additional product candidates;</w:t>
      </w:r>
    </w:p>
    <w:p>
      <w:pPr>
        <w:spacing w:after="0" w:line="96" w:lineRule="exact"/>
        <w:rPr>
          <w:rFonts w:ascii="Times New Roman" w:cs="Times New Roman" w:eastAsia="Times New Roman" w:hAnsi="Times New Roman"/>
          <w:sz w:val="14"/>
          <w:szCs w:val="14"/>
          <w:color w:val="auto"/>
        </w:rPr>
      </w:pPr>
    </w:p>
    <w:p>
      <w:pPr>
        <w:ind w:left="1680" w:right="93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expenses, future revenue, capital requirements, and needs for additional financing;</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relating to commercializing our product candidates, if approved;</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strategic plans for our business and product candidates;</w:t>
      </w:r>
    </w:p>
    <w:p>
      <w:pPr>
        <w:spacing w:after="0" w:line="96" w:lineRule="exact"/>
        <w:rPr>
          <w:rFonts w:ascii="Times New Roman" w:cs="Times New Roman" w:eastAsia="Times New Roman" w:hAnsi="Times New Roman"/>
          <w:sz w:val="14"/>
          <w:szCs w:val="14"/>
          <w:color w:val="auto"/>
        </w:rPr>
      </w:pPr>
    </w:p>
    <w:p>
      <w:pPr>
        <w:ind w:left="1680" w:right="109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scale and optimize our manufacturing processes, including by expanding our use of automation;</w:t>
      </w:r>
    </w:p>
    <w:p>
      <w:pPr>
        <w:spacing w:after="0" w:line="37" w:lineRule="exact"/>
        <w:rPr>
          <w:rFonts w:ascii="Times New Roman" w:cs="Times New Roman" w:eastAsia="Times New Roman" w:hAnsi="Times New Roman"/>
          <w:sz w:val="14"/>
          <w:szCs w:val="14"/>
          <w:color w:val="auto"/>
        </w:rPr>
      </w:pPr>
    </w:p>
    <w:p>
      <w:pPr>
        <w:ind w:left="1680" w:right="107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the number of patients in the United States who suffer from the indications we target and the number of patients that will enroll in our clinical trials;</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market opportunity for our product candidates in each of the indications we target;</w:t>
      </w:r>
    </w:p>
    <w:p>
      <w:pPr>
        <w:spacing w:after="0" w:line="96" w:lineRule="exact"/>
        <w:rPr>
          <w:rFonts w:ascii="Times New Roman" w:cs="Times New Roman" w:eastAsia="Times New Roman" w:hAnsi="Times New Roman"/>
          <w:sz w:val="14"/>
          <w:szCs w:val="14"/>
          <w:color w:val="auto"/>
        </w:rPr>
      </w:pPr>
    </w:p>
    <w:p>
      <w:pPr>
        <w:ind w:left="1680" w:right="105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innovate and expand our intellectual property by developing new applications of the RaniPill capsule;</w:t>
      </w:r>
    </w:p>
    <w:p>
      <w:pPr>
        <w:spacing w:after="0" w:line="37" w:lineRule="exact"/>
        <w:rPr>
          <w:rFonts w:ascii="Times New Roman" w:cs="Times New Roman" w:eastAsia="Times New Roman" w:hAnsi="Times New Roman"/>
          <w:sz w:val="14"/>
          <w:szCs w:val="14"/>
          <w:color w:val="auto"/>
        </w:rPr>
      </w:pPr>
    </w:p>
    <w:p>
      <w:pPr>
        <w:ind w:left="1680" w:right="83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ability to obtain or protect intellectual property rights, including extensions of existing patent terms where available;</w:t>
      </w:r>
    </w:p>
    <w:p>
      <w:pPr>
        <w:spacing w:after="0" w:line="37" w:lineRule="exact"/>
        <w:rPr>
          <w:rFonts w:ascii="Times New Roman" w:cs="Times New Roman" w:eastAsia="Times New Roman" w:hAnsi="Times New Roman"/>
          <w:sz w:val="14"/>
          <w:szCs w:val="14"/>
          <w:color w:val="auto"/>
        </w:rPr>
      </w:pPr>
    </w:p>
    <w:p>
      <w:pPr>
        <w:ind w:left="1680" w:right="127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including our technology platform and product candidates;</w:t>
      </w:r>
    </w:p>
    <w:p>
      <w:pPr>
        <w:spacing w:after="0" w:line="12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 w:name="page4"/>
    <w:bookmarkEnd w:id="3"/>
    <w:p>
      <w:pPr>
        <w:ind w:left="1680" w:right="1259" w:hanging="341"/>
        <w:spacing w:after="0" w:line="292"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cash and cash equivalents to fund our future operating expenses and capital expenditure requirements;</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savings from any restructuring plans or cost-containment measures;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 including competing product candidates and therapies;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Class A common stock on the Nasdaq Global Market;</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remediate the material weaknesses in our internal controls over financial reporting;</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realization of any benefit from our organizational structure; and</w:t>
      </w:r>
    </w:p>
    <w:p>
      <w:pPr>
        <w:spacing w:after="0" w:line="96" w:lineRule="exact"/>
        <w:rPr>
          <w:rFonts w:ascii="Times New Roman" w:cs="Times New Roman" w:eastAsia="Times New Roman" w:hAnsi="Times New Roman"/>
          <w:sz w:val="14"/>
          <w:szCs w:val="14"/>
          <w:color w:val="auto"/>
        </w:rPr>
      </w:pPr>
    </w:p>
    <w:p>
      <w:pPr>
        <w:ind w:left="1680" w:right="1019" w:hanging="341"/>
        <w:spacing w:after="0" w:line="292"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will qualify as an emerging growth company under the Jumpstart Our Business Startups Act of 2012 (the “JOBS Act”).</w:t>
      </w:r>
    </w:p>
    <w:p>
      <w:pPr>
        <w:spacing w:after="0" w:line="124"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risks, uncertainties, and assumptions described in the section titled “Risk Factors” in this Quarterly Report on Form 10-Q and in our Annual Report on Form 10-K filed with the Securities and Exchange Commission on March 26, 2026.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46" w:lineRule="exact"/>
        <w:rPr>
          <w:sz w:val="20"/>
          <w:szCs w:val="20"/>
          <w:color w:val="auto"/>
        </w:rPr>
      </w:pPr>
    </w:p>
    <w:p>
      <w:pPr>
        <w:ind w:left="640" w:right="859" w:firstLine="701"/>
        <w:spacing w:after="0" w:line="265"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31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center"/>
              <w:ind w:right="70"/>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2026</w:t>
            </w: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right"/>
              <w:ind w:right="36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jc w:val="center"/>
              <w:ind w:right="90"/>
              <w:spacing w:after="0" w:line="109"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9,644</w:t>
            </w:r>
          </w:p>
        </w:tc>
        <w:tc>
          <w:tcPr>
            <w:tcW w:w="8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18,618</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33,759</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31,091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47,091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53,321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51,879</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58,621</w:t>
            </w:r>
          </w:p>
        </w:tc>
        <w:tc>
          <w:tcPr>
            <w:tcW w:w="80" w:type="dxa"/>
            <w:vAlign w:val="bottom"/>
            <w:shd w:val="clear" w:color="auto" w:fill="CFF0FC"/>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530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80" w:type="dxa"/>
            <w:vAlign w:val="bottom"/>
          </w:tcPr>
          <w:p>
            <w:pPr>
              <w:spacing w:after="0"/>
              <w:rPr>
                <w:sz w:val="14"/>
                <w:szCs w:val="14"/>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deferred revenue</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portion of operating lease liability</w:t>
            </w: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Long-term deferred revenue</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liability, less current portion</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16,336</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17,109</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Preferred stock, $0.0001 par value - 20,000 shares authorized; none issued and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6"/>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outstanding as of March 31, 2026 and December 31, 2025</w:t>
            </w:r>
          </w:p>
        </w:tc>
        <w:tc>
          <w:tcPr>
            <w:tcW w:w="1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8"/>
        </w:trPr>
        <w:tc>
          <w:tcPr>
            <w:tcW w:w="20" w:type="dxa"/>
            <w:vAlign w:val="bottom"/>
          </w:tcPr>
          <w:p>
            <w:pPr>
              <w:spacing w:after="0"/>
              <w:rPr>
                <w:sz w:val="13"/>
                <w:szCs w:val="13"/>
                <w:color w:val="auto"/>
              </w:rPr>
            </w:pPr>
          </w:p>
        </w:tc>
        <w:tc>
          <w:tcPr>
            <w:tcW w:w="530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Class A common stock, $0.0001 par value - 800,000 shares authorized; 99,813 and</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97,622 issued and outstanding as of March 31, 2026 and December 31, 2025, respectively</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FF0FC"/>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5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Class B common stock, $0.0001 par value - 40,000 shares authorized; 23,970 and 23,970</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6"/>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issued and outstanding as of March 31, 2026 and December 31, 2025</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530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Class C common stock, $0.0001 par value - 20,000 shares authorized; none issued and</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as of March 31, 2026 and December 31, 2025</w:t>
            </w: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165,578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(loss)/gain</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(139,613)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(132,580)</w:t>
            </w: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stockholders' equity attributable to Rani Therapeutics Holdings, Inc.</w:t>
            </w:r>
          </w:p>
        </w:tc>
        <w:tc>
          <w:tcPr>
            <w:tcW w:w="1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28,405</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33,010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8,502</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35,543</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41,512</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51,879</w:t>
            </w:r>
          </w:p>
        </w:tc>
        <w:tc>
          <w:tcPr>
            <w:tcW w:w="80" w:type="dxa"/>
            <w:vAlign w:val="bottom"/>
          </w:tcPr>
          <w:p>
            <w:pPr>
              <w:spacing w:after="0"/>
              <w:rPr>
                <w:sz w:val="14"/>
                <w:szCs w:val="14"/>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58,621</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-3027045</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-3013710</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-3027045</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-3013710</wp:posOffset>
            </wp:positionV>
            <wp:extent cx="476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-2352040</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-2352040</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-1901825</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-1901825</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60" w:type="dxa"/>
            <w:vAlign w:val="bottom"/>
            <w:gridSpan w:val="6"/>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7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9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Contract revenue</w:t>
            </w:r>
          </w:p>
        </w:tc>
        <w:tc>
          <w:tcPr>
            <w:tcW w:w="4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5,615</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10,047</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12,185</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Loss from operations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(8,339)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and other, net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(8,015)</w:t>
            </w:r>
          </w:p>
        </w:tc>
        <w:tc>
          <w:tcPr>
            <w:tcW w:w="34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(12,738)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(982)</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(5,474)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Rani Therapeutics Holdings, Inc.</w:t>
            </w:r>
          </w:p>
        </w:tc>
        <w:tc>
          <w:tcPr>
            <w:tcW w:w="14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(7,033)</w:t>
            </w:r>
          </w:p>
        </w:tc>
        <w:tc>
          <w:tcPr>
            <w:tcW w:w="34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06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4"/>
                <w:szCs w:val="14"/>
                <w:color w:val="auto"/>
              </w:rPr>
              <w:t>Net loss per Class A common share attributable to Rani Therapeutics Holdings, Inc.,</w:t>
            </w:r>
          </w:p>
        </w:tc>
        <w:tc>
          <w:tcPr>
            <w:tcW w:w="40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(0.04)</w:t>
            </w:r>
          </w:p>
        </w:tc>
        <w:tc>
          <w:tcPr>
            <w:tcW w:w="340" w:type="dxa"/>
            <w:vAlign w:val="bottom"/>
            <w:gridSpan w:val="2"/>
            <w:vMerge w:val="restart"/>
            <w:shd w:val="clear" w:color="auto" w:fill="CFF0FC"/>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shd w:val="clear" w:color="auto" w:fill="CFF0FC"/>
          </w:tcPr>
          <w:p>
            <w:pPr>
              <w:ind w:left="40"/>
              <w:spacing w:after="0" w:line="155" w:lineRule="exact"/>
              <w:rPr>
                <w:sz w:val="20"/>
                <w:szCs w:val="20"/>
                <w:color w:val="auto"/>
              </w:rPr>
            </w:pPr>
            <w:r>
              <w:rPr>
                <w:rFonts w:ascii="Times New Roman" w:cs="Times New Roman" w:eastAsia="Times New Roman" w:hAnsi="Times New Roman"/>
                <w:sz w:val="14"/>
                <w:szCs w:val="14"/>
                <w:color w:val="auto"/>
              </w:rPr>
              <w:t>basic and diluted</w:t>
            </w:r>
          </w:p>
        </w:tc>
        <w:tc>
          <w:tcPr>
            <w:tcW w:w="400" w:type="dxa"/>
            <w:vAlign w:val="bottom"/>
            <w:gridSpan w:val="2"/>
            <w:vMerge w:val="continue"/>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6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color w:val="auto"/>
              </w:rPr>
              <w:t>Weighted-average Class A common shares outstanding—basic and diluted</w:t>
            </w:r>
          </w:p>
        </w:tc>
        <w:tc>
          <w:tcPr>
            <w:tcW w:w="140" w:type="dxa"/>
            <w:vAlign w:val="bottom"/>
            <w:tcBorders>
              <w:top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179,996</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33,440</w:t>
            </w: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-1280160</wp:posOffset>
            </wp:positionV>
            <wp:extent cx="73025" cy="147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-1280160</wp:posOffset>
            </wp:positionV>
            <wp:extent cx="73025" cy="147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-708660</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-708660</wp:posOffset>
            </wp:positionV>
            <wp:extent cx="47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-483235</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-483235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-149225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-135890</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-149225</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500" w:type="dxa"/>
            <w:vAlign w:val="bottom"/>
            <w:gridSpan w:val="7"/>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40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9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shd w:val="clear" w:color="auto" w:fill="CFF0FC"/>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(8,015)</w:t>
            </w:r>
          </w:p>
        </w:tc>
        <w:tc>
          <w:tcPr>
            <w:tcW w:w="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(12,738)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Net unrealized loss on marketable securities</w:t>
            </w:r>
          </w:p>
        </w:tc>
        <w:tc>
          <w:tcPr>
            <w:tcW w:w="70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700" w:type="dxa"/>
            <w:vAlign w:val="bottom"/>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(8,026)</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220" w:type="dxa"/>
            <w:vAlign w:val="bottom"/>
            <w:tcBorders>
              <w:right w:val="single" w:sz="8" w:color="CFF0FC"/>
            </w:tcBorders>
            <w:shd w:val="clear" w:color="auto" w:fill="CFF0FC"/>
          </w:tcPr>
          <w:p>
            <w:pPr>
              <w:ind w:left="40"/>
              <w:spacing w:after="0" w:line="144" w:lineRule="exact"/>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7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(984)</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(5,477)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attributable to Rani Therapeutics Holdings, Inc.</w:t>
            </w:r>
          </w:p>
        </w:tc>
        <w:tc>
          <w:tcPr>
            <w:tcW w:w="700" w:type="dxa"/>
            <w:vAlign w:val="bottom"/>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(7,042)</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-381000</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-381000</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-135890</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(DEFICIT)/EQUITY</w:t>
      </w:r>
    </w:p>
    <w:p>
      <w:pPr>
        <w:spacing w:after="0" w:line="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680" w:type="dxa"/>
            <w:vAlign w:val="bottom"/>
          </w:tcPr>
          <w:p>
            <w:pPr>
              <w:spacing w:after="0"/>
              <w:rPr>
                <w:sz w:val="10"/>
                <w:szCs w:val="1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0"/>
                <w:szCs w:val="10"/>
                <w:b w:val="1"/>
                <w:bCs w:val="1"/>
                <w:color w:val="auto"/>
              </w:rPr>
              <w:t>Non-</w:t>
            </w:r>
          </w:p>
        </w:tc>
        <w:tc>
          <w:tcPr>
            <w:tcW w:w="120" w:type="dxa"/>
            <w:vAlign w:val="bottom"/>
          </w:tcPr>
          <w:p>
            <w:pPr>
              <w:spacing w:after="0"/>
              <w:rPr>
                <w:sz w:val="9"/>
                <w:szCs w:val="9"/>
                <w:color w:val="auto"/>
              </w:rPr>
            </w:pPr>
          </w:p>
        </w:tc>
        <w:tc>
          <w:tcPr>
            <w:tcW w:w="6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7"/>
        </w:trPr>
        <w:tc>
          <w:tcPr>
            <w:tcW w:w="2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0"/>
                <w:szCs w:val="10"/>
                <w:b w:val="1"/>
                <w:bCs w:val="1"/>
                <w:color w:val="auto"/>
              </w:rPr>
              <w:t>Paid In</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80" w:type="dxa"/>
            <w:vAlign w:val="bottom"/>
          </w:tcPr>
          <w:p>
            <w:pPr>
              <w:spacing w:after="0"/>
              <w:rPr>
                <w:sz w:val="9"/>
                <w:szCs w:val="9"/>
                <w:color w:val="auto"/>
              </w:rPr>
            </w:pPr>
          </w:p>
        </w:tc>
        <w:tc>
          <w:tcPr>
            <w:tcW w:w="820" w:type="dxa"/>
            <w:vAlign w:val="bottom"/>
            <w:gridSpan w:val="3"/>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80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0"/>
                <w:szCs w:val="10"/>
                <w:b w:val="1"/>
                <w:bCs w:val="1"/>
                <w:color w:val="auto"/>
              </w:rPr>
              <w:t>Controlling</w:t>
            </w:r>
          </w:p>
        </w:tc>
        <w:tc>
          <w:tcPr>
            <w:tcW w:w="78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0"/>
                <w:szCs w:val="10"/>
                <w:b w:val="1"/>
                <w:bCs w:val="1"/>
                <w:color w:val="auto"/>
                <w:w w:val="99"/>
              </w:rPr>
              <w:t>Stockholders'</w:t>
            </w:r>
          </w:p>
        </w:tc>
        <w:tc>
          <w:tcPr>
            <w:tcW w:w="0" w:type="dxa"/>
            <w:vAlign w:val="bottom"/>
          </w:tcPr>
          <w:p>
            <w:pPr>
              <w:spacing w:after="0"/>
              <w:rPr>
                <w:sz w:val="1"/>
                <w:szCs w:val="1"/>
                <w:color w:val="auto"/>
              </w:rPr>
            </w:pPr>
          </w:p>
        </w:tc>
      </w:tr>
      <w:tr>
        <w:trPr>
          <w:trHeight w:val="123"/>
        </w:trPr>
        <w:tc>
          <w:tcPr>
            <w:tcW w:w="2680" w:type="dxa"/>
            <w:vAlign w:val="bottom"/>
          </w:tcPr>
          <w:p>
            <w:pPr>
              <w:spacing w:after="0"/>
              <w:rPr>
                <w:sz w:val="10"/>
                <w:szCs w:val="10"/>
                <w:color w:val="auto"/>
              </w:rPr>
            </w:pPr>
          </w:p>
        </w:tc>
        <w:tc>
          <w:tcPr>
            <w:tcW w:w="7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0"/>
                <w:szCs w:val="10"/>
                <w:color w:val="auto"/>
              </w:rPr>
            </w:pPr>
          </w:p>
        </w:tc>
        <w:tc>
          <w:tcPr>
            <w:tcW w:w="48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10"/>
                <w:szCs w:val="10"/>
                <w:color w:val="auto"/>
              </w:rPr>
            </w:pPr>
          </w:p>
        </w:tc>
        <w:tc>
          <w:tcPr>
            <w:tcW w:w="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rPr>
              <w:t>Gain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6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December 31, 2025</w:t>
            </w: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97,622</w:t>
            </w:r>
          </w:p>
        </w:tc>
        <w:tc>
          <w:tcPr>
            <w:tcW w:w="520" w:type="dxa"/>
            <w:vAlign w:val="bottom"/>
            <w:gridSpan w:val="2"/>
            <w:shd w:val="clear" w:color="auto" w:fill="CFF0FC"/>
          </w:tcPr>
          <w:p>
            <w:pPr>
              <w:jc w:val="right"/>
              <w:ind w:right="20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9</w:t>
            </w:r>
          </w:p>
        </w:tc>
        <w:tc>
          <w:tcPr>
            <w:tcW w:w="92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23,970</w:t>
            </w:r>
          </w:p>
        </w:tc>
        <w:tc>
          <w:tcPr>
            <w:tcW w:w="28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w:t>
            </w:r>
          </w:p>
        </w:tc>
        <w:tc>
          <w:tcPr>
            <w:tcW w:w="30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165,578</w:t>
            </w:r>
          </w:p>
        </w:tc>
        <w:tc>
          <w:tcPr>
            <w:tcW w:w="120" w:type="dxa"/>
            <w:vAlign w:val="bottom"/>
            <w:shd w:val="clear" w:color="auto" w:fill="CFF0FC"/>
          </w:tcPr>
          <w:p>
            <w:pPr>
              <w:spacing w:after="0"/>
              <w:rPr>
                <w:sz w:val="9"/>
                <w:szCs w:val="9"/>
                <w:color w:val="auto"/>
              </w:rPr>
            </w:pPr>
          </w:p>
        </w:tc>
        <w:tc>
          <w:tcPr>
            <w:tcW w:w="14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9"/>
                <w:szCs w:val="9"/>
                <w:color w:val="auto"/>
              </w:rPr>
            </w:pPr>
          </w:p>
        </w:tc>
        <w:tc>
          <w:tcPr>
            <w:tcW w:w="180" w:type="dxa"/>
            <w:vAlign w:val="bottom"/>
            <w:gridSpan w:val="2"/>
            <w:shd w:val="clear" w:color="auto" w:fill="CFF0FC"/>
          </w:tcPr>
          <w:p>
            <w:pPr>
              <w:jc w:val="right"/>
              <w:ind w:right="1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(132,580)</w:t>
            </w: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8,502</w:t>
            </w: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41,512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under employee equity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plans, net of shares withheld for tax settlement</w:t>
            </w: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68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Exercise of Pre-funded Warrants in connection with the</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2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8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Private Placement, net of issuance cost of ($5)</w:t>
            </w:r>
          </w:p>
        </w:tc>
        <w:tc>
          <w:tcPr>
            <w:tcW w:w="7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6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Non-controlling interest adjustment for changes in</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799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(799)</w:t>
            </w:r>
          </w:p>
        </w:tc>
        <w:tc>
          <w:tcPr>
            <w:tcW w:w="120" w:type="dxa"/>
            <w:vAlign w:val="bottom"/>
          </w:tcPr>
          <w:p>
            <w:pPr>
              <w:spacing w:after="0"/>
              <w:rPr>
                <w:sz w:val="8"/>
                <w:szCs w:val="8"/>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proportionate ownership in Rani LLC</w:t>
            </w: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6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1,665</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419</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2,084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(7,033)</w:t>
            </w:r>
          </w:p>
        </w:tc>
        <w:tc>
          <w:tcPr>
            <w:tcW w:w="80" w:type="dxa"/>
            <w:vAlign w:val="bottom"/>
          </w:tcPr>
          <w:p>
            <w:pPr>
              <w:spacing w:after="0"/>
              <w:rPr>
                <w:sz w:val="10"/>
                <w:szCs w:val="10"/>
                <w:color w:val="auto"/>
              </w:rPr>
            </w:pPr>
          </w:p>
        </w:tc>
        <w:tc>
          <w:tcPr>
            <w:tcW w:w="8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(982)</w:t>
            </w:r>
          </w:p>
        </w:tc>
        <w:tc>
          <w:tcPr>
            <w:tcW w:w="120" w:type="dxa"/>
            <w:vAlign w:val="bottom"/>
          </w:tcPr>
          <w:p>
            <w:pPr>
              <w:spacing w:after="0"/>
              <w:rPr>
                <w:sz w:val="10"/>
                <w:szCs w:val="10"/>
                <w:color w:val="auto"/>
              </w:rPr>
            </w:pPr>
          </w:p>
        </w:tc>
        <w:tc>
          <w:tcPr>
            <w:tcW w:w="66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(8,015)</w:t>
            </w:r>
          </w:p>
        </w:tc>
        <w:tc>
          <w:tcPr>
            <w:tcW w:w="0" w:type="dxa"/>
            <w:vAlign w:val="bottom"/>
          </w:tcPr>
          <w:p>
            <w:pPr>
              <w:spacing w:after="0"/>
              <w:rPr>
                <w:sz w:val="1"/>
                <w:szCs w:val="1"/>
                <w:color w:val="auto"/>
              </w:rPr>
            </w:pPr>
          </w:p>
        </w:tc>
      </w:tr>
      <w:tr>
        <w:trPr>
          <w:trHeight w:val="118"/>
        </w:trPr>
        <w:tc>
          <w:tcPr>
            <w:tcW w:w="26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loss</w:t>
            </w: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8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Balance at March 31, 2026</w:t>
            </w: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99,813</w:t>
            </w:r>
          </w:p>
        </w:tc>
        <w:tc>
          <w:tcPr>
            <w:tcW w:w="200" w:type="dxa"/>
            <w:vAlign w:val="bottom"/>
          </w:tcPr>
          <w:p>
            <w:pPr>
              <w:spacing w:after="0"/>
              <w:rPr>
                <w:sz w:val="9"/>
                <w:szCs w:val="9"/>
                <w:color w:val="auto"/>
              </w:rPr>
            </w:pPr>
          </w:p>
        </w:tc>
        <w:tc>
          <w:tcPr>
            <w:tcW w:w="320" w:type="dxa"/>
            <w:vAlign w:val="bottom"/>
          </w:tcPr>
          <w:p>
            <w:pPr>
              <w:jc w:val="right"/>
              <w:ind w:right="20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9</w:t>
            </w:r>
          </w:p>
        </w:tc>
        <w:tc>
          <w:tcPr>
            <w:tcW w:w="20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23,970</w:t>
            </w:r>
          </w:p>
        </w:tc>
        <w:tc>
          <w:tcPr>
            <w:tcW w:w="200" w:type="dxa"/>
            <w:vAlign w:val="bottom"/>
          </w:tcPr>
          <w:p>
            <w:pPr>
              <w:spacing w:after="0"/>
              <w:rPr>
                <w:sz w:val="9"/>
                <w:szCs w:val="9"/>
                <w:color w:val="auto"/>
              </w:rPr>
            </w:pPr>
          </w:p>
        </w:tc>
        <w:tc>
          <w:tcPr>
            <w:tcW w:w="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9"/>
                <w:szCs w:val="9"/>
                <w:color w:val="auto"/>
              </w:rPr>
            </w:pPr>
          </w:p>
        </w:tc>
        <w:tc>
          <w:tcPr>
            <w:tcW w:w="1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168,015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(8)</w:t>
            </w:r>
          </w:p>
        </w:tc>
        <w:tc>
          <w:tcPr>
            <w:tcW w:w="180" w:type="dxa"/>
            <w:vAlign w:val="bottom"/>
            <w:gridSpan w:val="2"/>
          </w:tcPr>
          <w:p>
            <w:pPr>
              <w:jc w:val="right"/>
              <w:ind w:right="1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(139,613)</w:t>
            </w:r>
          </w:p>
        </w:tc>
        <w:tc>
          <w:tcPr>
            <w:tcW w:w="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7,138</w:t>
            </w:r>
          </w:p>
        </w:tc>
        <w:tc>
          <w:tcPr>
            <w:tcW w:w="180" w:type="dxa"/>
            <w:vAlign w:val="bottom"/>
          </w:tcPr>
          <w:p>
            <w:pPr>
              <w:spacing w:after="0"/>
              <w:rPr>
                <w:sz w:val="9"/>
                <w:szCs w:val="9"/>
                <w:color w:val="auto"/>
              </w:rPr>
            </w:pPr>
          </w:p>
        </w:tc>
        <w:tc>
          <w:tcPr>
            <w:tcW w:w="120" w:type="dxa"/>
            <w:vAlign w:val="bottom"/>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35,543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680" w:type="dxa"/>
            <w:vAlign w:val="bottom"/>
          </w:tcPr>
          <w:p>
            <w:pPr>
              <w:spacing w:after="0"/>
              <w:rPr>
                <w:sz w:val="23"/>
                <w:szCs w:val="2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6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83"/>
        </w:trPr>
        <w:tc>
          <w:tcPr>
            <w:tcW w:w="2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0"/>
                <w:szCs w:val="10"/>
                <w:b w:val="1"/>
                <w:bCs w:val="1"/>
                <w:color w:val="auto"/>
              </w:rPr>
              <w:t>Non-</w:t>
            </w:r>
          </w:p>
        </w:tc>
        <w:tc>
          <w:tcPr>
            <w:tcW w:w="78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0"/>
                <w:szCs w:val="10"/>
                <w:b w:val="1"/>
                <w:bCs w:val="1"/>
                <w:color w:val="auto"/>
                <w:w w:val="99"/>
              </w:rPr>
              <w:t>Stockholders'</w:t>
            </w:r>
          </w:p>
        </w:tc>
        <w:tc>
          <w:tcPr>
            <w:tcW w:w="0" w:type="dxa"/>
            <w:vAlign w:val="bottom"/>
          </w:tcPr>
          <w:p>
            <w:pPr>
              <w:spacing w:after="0"/>
              <w:rPr>
                <w:sz w:val="1"/>
                <w:szCs w:val="1"/>
                <w:color w:val="auto"/>
              </w:rPr>
            </w:pPr>
          </w:p>
        </w:tc>
      </w:tr>
      <w:tr>
        <w:trPr>
          <w:trHeight w:val="107"/>
        </w:trPr>
        <w:tc>
          <w:tcPr>
            <w:tcW w:w="2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0"/>
                <w:szCs w:val="10"/>
                <w:b w:val="1"/>
                <w:bCs w:val="1"/>
                <w:color w:val="auto"/>
              </w:rPr>
              <w:t>Paid In</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80" w:type="dxa"/>
            <w:vAlign w:val="bottom"/>
          </w:tcPr>
          <w:p>
            <w:pPr>
              <w:spacing w:after="0"/>
              <w:rPr>
                <w:sz w:val="9"/>
                <w:szCs w:val="9"/>
                <w:color w:val="auto"/>
              </w:rPr>
            </w:pPr>
          </w:p>
        </w:tc>
        <w:tc>
          <w:tcPr>
            <w:tcW w:w="820" w:type="dxa"/>
            <w:vAlign w:val="bottom"/>
            <w:gridSpan w:val="3"/>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80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0"/>
                <w:szCs w:val="10"/>
                <w:b w:val="1"/>
                <w:bCs w:val="1"/>
                <w:color w:val="auto"/>
              </w:rPr>
              <w:t>Controlling</w:t>
            </w:r>
          </w:p>
        </w:tc>
        <w:tc>
          <w:tcPr>
            <w:tcW w:w="78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0"/>
                <w:szCs w:val="10"/>
                <w:b w:val="1"/>
                <w:bCs w:val="1"/>
                <w:color w:val="auto"/>
              </w:rPr>
              <w:t>(Deficit)/Equit</w:t>
            </w:r>
          </w:p>
        </w:tc>
        <w:tc>
          <w:tcPr>
            <w:tcW w:w="0" w:type="dxa"/>
            <w:vAlign w:val="bottom"/>
          </w:tcPr>
          <w:p>
            <w:pPr>
              <w:spacing w:after="0"/>
              <w:rPr>
                <w:sz w:val="1"/>
                <w:szCs w:val="1"/>
                <w:color w:val="auto"/>
              </w:rPr>
            </w:pPr>
          </w:p>
        </w:tc>
      </w:tr>
      <w:tr>
        <w:trPr>
          <w:trHeight w:val="123"/>
        </w:trPr>
        <w:tc>
          <w:tcPr>
            <w:tcW w:w="2680" w:type="dxa"/>
            <w:vAlign w:val="bottom"/>
          </w:tcPr>
          <w:p>
            <w:pPr>
              <w:spacing w:after="0"/>
              <w:rPr>
                <w:sz w:val="10"/>
                <w:szCs w:val="10"/>
                <w:color w:val="auto"/>
              </w:rPr>
            </w:pPr>
          </w:p>
        </w:tc>
        <w:tc>
          <w:tcPr>
            <w:tcW w:w="7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0"/>
                <w:szCs w:val="10"/>
                <w:color w:val="auto"/>
              </w:rPr>
            </w:pPr>
          </w:p>
        </w:tc>
        <w:tc>
          <w:tcPr>
            <w:tcW w:w="48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10"/>
                <w:szCs w:val="10"/>
                <w:color w:val="auto"/>
              </w:rPr>
            </w:pPr>
          </w:p>
        </w:tc>
        <w:tc>
          <w:tcPr>
            <w:tcW w:w="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0"/>
                <w:szCs w:val="10"/>
                <w:b w:val="1"/>
                <w:bCs w:val="1"/>
                <w:color w:val="auto"/>
              </w:rPr>
              <w:t>Loss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79"/>
              </w:rPr>
              <w: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6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December 31, 2024</w:t>
            </w: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33,430</w:t>
            </w:r>
          </w:p>
        </w:tc>
        <w:tc>
          <w:tcPr>
            <w:tcW w:w="520" w:type="dxa"/>
            <w:vAlign w:val="bottom"/>
            <w:gridSpan w:val="2"/>
            <w:shd w:val="clear" w:color="auto" w:fill="CFF0FC"/>
          </w:tcPr>
          <w:p>
            <w:pPr>
              <w:jc w:val="right"/>
              <w:ind w:right="20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w:t>
            </w:r>
          </w:p>
        </w:tc>
        <w:tc>
          <w:tcPr>
            <w:tcW w:w="92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23,972</w:t>
            </w:r>
          </w:p>
        </w:tc>
        <w:tc>
          <w:tcPr>
            <w:tcW w:w="28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w:t>
            </w:r>
          </w:p>
        </w:tc>
        <w:tc>
          <w:tcPr>
            <w:tcW w:w="30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104,889</w:t>
            </w:r>
          </w:p>
        </w:tc>
        <w:tc>
          <w:tcPr>
            <w:tcW w:w="120" w:type="dxa"/>
            <w:vAlign w:val="bottom"/>
            <w:shd w:val="clear" w:color="auto" w:fill="CFF0FC"/>
          </w:tcPr>
          <w:p>
            <w:pPr>
              <w:spacing w:after="0"/>
              <w:rPr>
                <w:sz w:val="9"/>
                <w:szCs w:val="9"/>
                <w:color w:val="auto"/>
              </w:rPr>
            </w:pPr>
          </w:p>
        </w:tc>
        <w:tc>
          <w:tcPr>
            <w:tcW w:w="14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FF0FC"/>
          </w:tcPr>
          <w:p>
            <w:pPr>
              <w:spacing w:after="0"/>
              <w:rPr>
                <w:sz w:val="9"/>
                <w:szCs w:val="9"/>
                <w:color w:val="auto"/>
              </w:rPr>
            </w:pPr>
          </w:p>
        </w:tc>
        <w:tc>
          <w:tcPr>
            <w:tcW w:w="180" w:type="dxa"/>
            <w:vAlign w:val="bottom"/>
            <w:gridSpan w:val="2"/>
            <w:shd w:val="clear" w:color="auto" w:fill="CFF0FC"/>
          </w:tcPr>
          <w:p>
            <w:pPr>
              <w:jc w:val="right"/>
              <w:ind w:right="1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(102,907)</w:t>
            </w: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1,501</w:t>
            </w: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3,493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under employee equity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plans, net of shares withheld for tax settlement</w:t>
            </w: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68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Non-controlling interest adjustment for changes in</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proportionate ownership in Rani LLC</w:t>
            </w:r>
          </w:p>
        </w:tc>
        <w:tc>
          <w:tcPr>
            <w:tcW w:w="7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2,241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1,684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3,925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(7,264)</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(5,474)</w:t>
            </w: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(12,738)</w:t>
            </w:r>
          </w:p>
        </w:tc>
        <w:tc>
          <w:tcPr>
            <w:tcW w:w="0" w:type="dxa"/>
            <w:vAlign w:val="bottom"/>
          </w:tcPr>
          <w:p>
            <w:pPr>
              <w:spacing w:after="0"/>
              <w:rPr>
                <w:sz w:val="1"/>
                <w:szCs w:val="1"/>
                <w:color w:val="auto"/>
              </w:rPr>
            </w:pPr>
          </w:p>
        </w:tc>
      </w:tr>
      <w:tr>
        <w:trPr>
          <w:trHeight w:val="118"/>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loss</w:t>
            </w: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0"/>
                <w:szCs w:val="10"/>
                <w:color w:val="auto"/>
              </w:rPr>
            </w:pPr>
          </w:p>
        </w:tc>
        <w:tc>
          <w:tcPr>
            <w:tcW w:w="66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at March 31, 2025</w:t>
            </w: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33,570</w:t>
            </w: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20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23,972</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107,108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1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(110,171)</w:t>
            </w:r>
          </w:p>
        </w:tc>
        <w:tc>
          <w:tcPr>
            <w:tcW w:w="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(2,293)</w:t>
            </w:r>
          </w:p>
        </w:tc>
        <w:tc>
          <w:tcPr>
            <w:tcW w:w="120" w:type="dxa"/>
            <w:vAlign w:val="bottom"/>
            <w:shd w:val="clear" w:color="auto" w:fill="CFF0FC"/>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(5,349)</w:t>
            </w: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2155825</wp:posOffset>
            </wp:positionH>
            <wp:positionV relativeFrom="paragraph">
              <wp:posOffset>-1281430</wp:posOffset>
            </wp:positionV>
            <wp:extent cx="6794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-1281430</wp:posOffset>
            </wp:positionV>
            <wp:extent cx="6794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-1281430</wp:posOffset>
            </wp:positionV>
            <wp:extent cx="6794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-1281430</wp:posOffset>
            </wp:positionV>
            <wp:extent cx="679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-1281430</wp:posOffset>
            </wp:positionV>
            <wp:extent cx="679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-1281430</wp:posOffset>
            </wp:positionV>
            <wp:extent cx="6159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-1281430</wp:posOffset>
            </wp:positionV>
            <wp:extent cx="6159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-1281430</wp:posOffset>
            </wp:positionV>
            <wp:extent cx="6159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-1281430</wp:posOffset>
            </wp:positionV>
            <wp:extent cx="615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-19685</wp:posOffset>
            </wp:positionV>
            <wp:extent cx="6794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-6350</wp:posOffset>
            </wp:positionV>
            <wp:extent cx="6794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-19685</wp:posOffset>
            </wp:positionV>
            <wp:extent cx="6794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-6350</wp:posOffset>
            </wp:positionV>
            <wp:extent cx="6794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-19685</wp:posOffset>
            </wp:positionV>
            <wp:extent cx="6794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-6350</wp:posOffset>
            </wp:positionV>
            <wp:extent cx="6794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-19685</wp:posOffset>
            </wp:positionV>
            <wp:extent cx="6794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-6350</wp:posOffset>
            </wp:positionV>
            <wp:extent cx="6794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-19685</wp:posOffset>
            </wp:positionV>
            <wp:extent cx="6794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-6350</wp:posOffset>
            </wp:positionV>
            <wp:extent cx="6794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-19685</wp:posOffset>
            </wp:positionV>
            <wp:extent cx="615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-6350</wp:posOffset>
            </wp:positionV>
            <wp:extent cx="615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-19685</wp:posOffset>
            </wp:positionV>
            <wp:extent cx="615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-6350</wp:posOffset>
            </wp:positionV>
            <wp:extent cx="615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-19685</wp:posOffset>
            </wp:positionV>
            <wp:extent cx="615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-6350</wp:posOffset>
            </wp:positionV>
            <wp:extent cx="615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-19685</wp:posOffset>
            </wp:positionV>
            <wp:extent cx="6159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-6350</wp:posOffset>
            </wp:positionV>
            <wp:extent cx="6159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10" w:right="7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3"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3"/>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2"/>
              <w:spacing w:after="0" w:line="153"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52"/>
              <w:spacing w:after="0" w:line="153"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(8,015)</w:t>
            </w:r>
          </w:p>
        </w:tc>
        <w:tc>
          <w:tcPr>
            <w:tcW w:w="32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(12,738)</w:t>
            </w: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3,925</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1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accretion and amortization of investments in marketable securities</w:t>
            </w:r>
          </w:p>
        </w:tc>
        <w:tc>
          <w:tcPr>
            <w:tcW w:w="1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(600)</w:t>
            </w: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Contract asset</w:t>
            </w:r>
          </w:p>
        </w:tc>
        <w:tc>
          <w:tcPr>
            <w:tcW w:w="1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(1,708)</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(478)</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5300" w:type="dxa"/>
            <w:vAlign w:val="bottom"/>
            <w:shd w:val="clear" w:color="auto" w:fill="CFF0FC"/>
          </w:tcPr>
          <w:p>
            <w:pPr>
              <w:ind w:left="260"/>
              <w:spacing w:after="0" w:line="15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line="152" w:lineRule="exact"/>
              <w:rPr>
                <w:sz w:val="20"/>
                <w:szCs w:val="20"/>
                <w:color w:val="auto"/>
              </w:rPr>
            </w:pPr>
            <w:r>
              <w:rPr>
                <w:rFonts w:ascii="Times New Roman" w:cs="Times New Roman" w:eastAsia="Times New Roman" w:hAnsi="Times New Roman"/>
                <w:sz w:val="14"/>
                <w:szCs w:val="14"/>
                <w:color w:val="auto"/>
              </w:rPr>
              <w:t>(6,497)</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(8,149)</w:t>
            </w:r>
          </w:p>
        </w:tc>
      </w:tr>
      <w:tr>
        <w:trPr>
          <w:trHeight w:val="152"/>
        </w:trPr>
        <w:tc>
          <w:tcPr>
            <w:tcW w:w="20" w:type="dxa"/>
            <w:vAlign w:val="bottom"/>
          </w:tcPr>
          <w:p>
            <w:pPr>
              <w:spacing w:after="0"/>
              <w:rPr>
                <w:sz w:val="13"/>
                <w:szCs w:val="13"/>
                <w:color w:val="auto"/>
              </w:rPr>
            </w:pPr>
          </w:p>
        </w:tc>
        <w:tc>
          <w:tcPr>
            <w:tcW w:w="5300" w:type="dxa"/>
            <w:vAlign w:val="bottom"/>
            <w:tcBorders>
              <w:top w:val="single" w:sz="8" w:color="CFF0FC"/>
            </w:tcBorders>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(23,435)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(2,720)</w:t>
            </w: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(51)</w:t>
            </w: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5300" w:type="dxa"/>
            <w:vAlign w:val="bottom"/>
          </w:tcPr>
          <w:p>
            <w:pPr>
              <w:ind w:left="260"/>
              <w:spacing w:after="0" w:line="152" w:lineRule="exact"/>
              <w:rPr>
                <w:sz w:val="20"/>
                <w:szCs w:val="20"/>
                <w:color w:val="auto"/>
              </w:rPr>
            </w:pPr>
            <w:r>
              <w:rPr>
                <w:rFonts w:ascii="Times New Roman" w:cs="Times New Roman" w:eastAsia="Times New Roman" w:hAnsi="Times New Roman"/>
                <w:sz w:val="14"/>
                <w:szCs w:val="14"/>
                <w:color w:val="auto"/>
              </w:rPr>
              <w:t>Net cash (used in)/provided by investing activities</w:t>
            </w:r>
          </w:p>
        </w:tc>
        <w:tc>
          <w:tcPr>
            <w:tcW w:w="140" w:type="dxa"/>
            <w:vAlign w:val="bottom"/>
          </w:tcPr>
          <w:p>
            <w:pPr>
              <w:spacing w:after="0"/>
              <w:rPr>
                <w:sz w:val="13"/>
                <w:szCs w:val="13"/>
                <w:color w:val="auto"/>
              </w:rPr>
            </w:pPr>
          </w:p>
        </w:tc>
        <w:tc>
          <w:tcPr>
            <w:tcW w:w="1040" w:type="dxa"/>
            <w:vAlign w:val="bottom"/>
            <w:gridSpan w:val="2"/>
          </w:tcPr>
          <w:p>
            <w:pPr>
              <w:jc w:val="right"/>
              <w:ind w:right="60"/>
              <w:spacing w:after="0" w:line="152" w:lineRule="exact"/>
              <w:rPr>
                <w:sz w:val="20"/>
                <w:szCs w:val="20"/>
                <w:color w:val="auto"/>
              </w:rPr>
            </w:pPr>
            <w:r>
              <w:rPr>
                <w:rFonts w:ascii="Times New Roman" w:cs="Times New Roman" w:eastAsia="Times New Roman" w:hAnsi="Times New Roman"/>
                <w:sz w:val="14"/>
                <w:szCs w:val="14"/>
                <w:color w:val="auto"/>
              </w:rPr>
              <w:t>(2,450)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18,229</w:t>
            </w:r>
          </w:p>
        </w:tc>
        <w:tc>
          <w:tcPr>
            <w:tcW w:w="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1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Tax withholdings paid on behalf of employees for net share settlement</w:t>
            </w:r>
          </w:p>
        </w:tc>
        <w:tc>
          <w:tcPr>
            <w:tcW w:w="1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w:t>
            </w: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Repayment of debt</w:t>
            </w:r>
          </w:p>
        </w:tc>
        <w:tc>
          <w:tcPr>
            <w:tcW w:w="14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(3,750)</w:t>
            </w:r>
          </w:p>
        </w:tc>
      </w:tr>
      <w:tr>
        <w:trPr>
          <w:trHeight w:val="144"/>
        </w:trPr>
        <w:tc>
          <w:tcPr>
            <w:tcW w:w="20" w:type="dxa"/>
            <w:vAlign w:val="bottom"/>
          </w:tcPr>
          <w:p>
            <w:pPr>
              <w:spacing w:after="0"/>
              <w:rPr>
                <w:sz w:val="12"/>
                <w:szCs w:val="12"/>
                <w:color w:val="auto"/>
              </w:rPr>
            </w:pPr>
          </w:p>
        </w:tc>
        <w:tc>
          <w:tcPr>
            <w:tcW w:w="53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Exercise of Pre-funded Warrants in connection with the Private Placement, net of issuance</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costs of ($5)</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2"/>
        </w:trPr>
        <w:tc>
          <w:tcPr>
            <w:tcW w:w="20" w:type="dxa"/>
            <w:vAlign w:val="bottom"/>
          </w:tcPr>
          <w:p>
            <w:pPr>
              <w:spacing w:after="0"/>
              <w:rPr>
                <w:sz w:val="13"/>
                <w:szCs w:val="13"/>
                <w:color w:val="auto"/>
              </w:rPr>
            </w:pPr>
          </w:p>
        </w:tc>
        <w:tc>
          <w:tcPr>
            <w:tcW w:w="5300" w:type="dxa"/>
            <w:vAlign w:val="bottom"/>
          </w:tcPr>
          <w:p>
            <w:pPr>
              <w:ind w:left="260"/>
              <w:spacing w:after="0" w:line="15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(3,731)</w:t>
            </w:r>
          </w:p>
        </w:tc>
        <w:tc>
          <w:tcPr>
            <w:tcW w:w="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shd w:val="clear" w:color="auto" w:fill="CFF0FC"/>
          </w:tcPr>
          <w:p>
            <w:pPr>
              <w:ind w:left="260"/>
              <w:spacing w:after="0" w:line="152" w:lineRule="exact"/>
              <w:rPr>
                <w:sz w:val="20"/>
                <w:szCs w:val="20"/>
                <w:color w:val="auto"/>
              </w:rPr>
            </w:pPr>
            <w:r>
              <w:rPr>
                <w:rFonts w:ascii="Times New Roman" w:cs="Times New Roman" w:eastAsia="Times New Roman" w:hAnsi="Times New Roman"/>
                <w:sz w:val="14"/>
                <w:szCs w:val="14"/>
                <w:color w:val="auto"/>
              </w:rPr>
              <w:t>Net (decrease)/increase in cash, cash equivalents and restricted cash equivalents</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line="152" w:lineRule="exact"/>
              <w:rPr>
                <w:sz w:val="20"/>
                <w:szCs w:val="20"/>
                <w:color w:val="auto"/>
              </w:rPr>
            </w:pPr>
            <w:r>
              <w:rPr>
                <w:rFonts w:ascii="Times New Roman" w:cs="Times New Roman" w:eastAsia="Times New Roman" w:hAnsi="Times New Roman"/>
                <w:sz w:val="14"/>
                <w:szCs w:val="14"/>
                <w:color w:val="auto"/>
              </w:rPr>
              <w:t>(8,974)</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6,349</w:t>
            </w:r>
          </w:p>
        </w:tc>
        <w:tc>
          <w:tcPr>
            <w:tcW w:w="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equivalents, beginning of period</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4,262</w:t>
            </w:r>
          </w:p>
        </w:tc>
        <w:tc>
          <w:tcPr>
            <w:tcW w:w="8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530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Cash, cash equivalents and restricted cash equivalents, end of period</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9,844</w:t>
            </w:r>
          </w:p>
        </w:tc>
        <w:tc>
          <w:tcPr>
            <w:tcW w:w="12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23"/>
              <w:spacing w:after="0" w:line="15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10,611</w:t>
            </w:r>
          </w:p>
        </w:tc>
        <w:tc>
          <w:tcPr>
            <w:tcW w:w="80" w:type="dxa"/>
            <w:vAlign w:val="bottom"/>
            <w:shd w:val="clear" w:color="auto" w:fill="CFF0FC"/>
          </w:tcPr>
          <w:p>
            <w:pPr>
              <w:spacing w:after="0"/>
              <w:rPr>
                <w:sz w:val="16"/>
                <w:szCs w:val="16"/>
                <w:color w:val="auto"/>
              </w:rPr>
            </w:pPr>
          </w:p>
        </w:tc>
      </w:tr>
      <w:tr>
        <w:trPr>
          <w:trHeight w:val="133"/>
        </w:trPr>
        <w:tc>
          <w:tcPr>
            <w:tcW w:w="20" w:type="dxa"/>
            <w:vAlign w:val="bottom"/>
          </w:tcPr>
          <w:p>
            <w:pPr>
              <w:spacing w:after="0"/>
              <w:rPr>
                <w:sz w:val="11"/>
                <w:szCs w:val="11"/>
                <w:color w:val="auto"/>
              </w:rPr>
            </w:pPr>
          </w:p>
        </w:tc>
        <w:tc>
          <w:tcPr>
            <w:tcW w:w="530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r>
      <w:tr>
        <w:trPr>
          <w:trHeight w:val="201"/>
        </w:trPr>
        <w:tc>
          <w:tcPr>
            <w:tcW w:w="20" w:type="dxa"/>
            <w:vAlign w:val="bottom"/>
          </w:tcPr>
          <w:p>
            <w:pPr>
              <w:spacing w:after="0"/>
              <w:rPr>
                <w:sz w:val="17"/>
                <w:szCs w:val="17"/>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 receivable included in prepaid expenses and other current assets</w:t>
            </w:r>
          </w:p>
        </w:tc>
        <w:tc>
          <w:tcPr>
            <w:tcW w:w="14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53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Unrealized loss on short-term investments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(11)</w:t>
            </w:r>
          </w:p>
        </w:tc>
        <w:tc>
          <w:tcPr>
            <w:tcW w:w="320" w:type="dxa"/>
            <w:vAlign w:val="bottom"/>
            <w:gridSpan w:val="2"/>
          </w:tcPr>
          <w:p>
            <w:pPr>
              <w:jc w:val="right"/>
              <w:ind w:right="123"/>
              <w:spacing w:after="0" w:line="144"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-1956435</wp:posOffset>
            </wp:positionV>
            <wp:extent cx="4762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-1956435</wp:posOffset>
            </wp:positionV>
            <wp:extent cx="476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-1540510</wp:posOffset>
            </wp:positionV>
            <wp:extent cx="4762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-1540510</wp:posOffset>
            </wp:positionV>
            <wp:extent cx="476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-374650</wp:posOffset>
            </wp:positionV>
            <wp:extent cx="4762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-360680</wp:posOffset>
            </wp:positionV>
            <wp:extent cx="4762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-374650</wp:posOffset>
            </wp:positionV>
            <wp:extent cx="476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-360680</wp:posOffset>
            </wp:positionV>
            <wp:extent cx="4762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-149225</wp:posOffset>
            </wp:positionV>
            <wp:extent cx="4762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-135890</wp:posOffset>
            </wp:positionV>
            <wp:extent cx="4762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-149225</wp:posOffset>
            </wp:positionV>
            <wp:extent cx="4762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Nature of Business, Organization and Liquidity</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87" w:lineRule="exact"/>
        <w:rPr>
          <w:sz w:val="20"/>
          <w:szCs w:val="20"/>
          <w:color w:val="auto"/>
        </w:rPr>
      </w:pPr>
    </w:p>
    <w:p>
      <w:pPr>
        <w:ind w:left="640" w:right="719" w:firstLine="701"/>
        <w:spacing w:after="0" w:line="262" w:lineRule="auto"/>
        <w:rPr>
          <w:sz w:val="20"/>
          <w:szCs w:val="20"/>
          <w:color w:val="auto"/>
        </w:rPr>
      </w:pPr>
      <w:r>
        <w:rPr>
          <w:rFonts w:ascii="Times New Roman" w:cs="Times New Roman" w:eastAsia="Times New Roman" w:hAnsi="Times New Roman"/>
          <w:sz w:val="14"/>
          <w:szCs w:val="14"/>
          <w:color w:val="auto"/>
        </w:rPr>
        <w:t>Rani Therapeutics Holdings, Inc. (“Rani Holdings”, and together with its consolidated subsidiary, the “Company”) is a clinical-stage biotherapeutics company focusing on advancing technologies to enable the administration of biologics and drugs orally, to provide patients, physicians, and healthcare systems with a convenient alternative to painful injections. The Company’s technology comprises a drug-agnostic oral delivery platform, the RaniPill capsule, which is designed to deliver a wide variety of drug substances, including antibodies, proteins, peptides, and oligonucleotides. The Company is advancing a portfolio of oral therapeutics using the RaniPill capsule, and the Company is actively pursuing partnering the technology with third party biopharmaceutical companies for the oral delivery of their biologics and drugs. The Company is headquartered in San Jose, California and operates in one segment.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Organizational Transactions</w:t>
      </w:r>
    </w:p>
    <w:p>
      <w:pPr>
        <w:spacing w:after="0" w:line="187" w:lineRule="exact"/>
        <w:rPr>
          <w:sz w:val="20"/>
          <w:szCs w:val="20"/>
          <w:color w:val="auto"/>
        </w:rPr>
      </w:pPr>
    </w:p>
    <w:p>
      <w:pPr>
        <w:ind w:left="640" w:right="659" w:firstLine="701"/>
        <w:spacing w:after="0" w:line="267" w:lineRule="auto"/>
        <w:rPr>
          <w:sz w:val="20"/>
          <w:szCs w:val="20"/>
          <w:color w:val="auto"/>
        </w:rPr>
      </w:pPr>
      <w:r>
        <w:rPr>
          <w:rFonts w:ascii="Times New Roman" w:cs="Times New Roman" w:eastAsia="Times New Roman" w:hAnsi="Times New Roman"/>
          <w:sz w:val="14"/>
          <w:szCs w:val="14"/>
          <w:color w:val="auto"/>
        </w:rPr>
        <w:t>Rani Holdings was formed as a Delaware corporation in April 2021 for the purpose of facilitating an initial public offering (“IPO”) of its Class A common stock. In connection with the IPO, the Company effected a series of organizational transactions (the “Organizational Transactions”), which, together with the IPO, were completed in August 2021, that resulted in the Company becoming the ultimate parent company of Rani Therapeutics, LLC (“Rani LLC”). The Company operates its business through Rani LLC.</w:t>
      </w:r>
    </w:p>
    <w:p>
      <w:pPr>
        <w:spacing w:after="0" w:line="315" w:lineRule="exact"/>
        <w:rPr>
          <w:sz w:val="20"/>
          <w:szCs w:val="20"/>
          <w:color w:val="auto"/>
        </w:rPr>
      </w:pPr>
    </w:p>
    <w:p>
      <w:pPr>
        <w:ind w:left="640" w:right="719" w:firstLine="701"/>
        <w:spacing w:after="0" w:line="259" w:lineRule="auto"/>
        <w:rPr>
          <w:sz w:val="20"/>
          <w:szCs w:val="20"/>
          <w:color w:val="auto"/>
        </w:rPr>
      </w:pPr>
      <w:r>
        <w:rPr>
          <w:rFonts w:ascii="Times New Roman" w:cs="Times New Roman" w:eastAsia="Times New Roman" w:hAnsi="Times New Roman"/>
          <w:sz w:val="14"/>
          <w:szCs w:val="14"/>
          <w:color w:val="auto"/>
        </w:rPr>
        <w:t>As part of the Organizational Transactions, the Company entered into a Registration Rights Agreement with certain individuals and entities that continued to hold economic nonvoting Class A units of Rani LLC (“Class A Units”), collectively referred to herein as the “Continuing LLC Owners”. The Continuing LLC Owners are entitled to exchange, subject to the terms of the Sixth Amended and Restated Limited Liability Company Agreement of Rani LLC (the “Amended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the Company redeems or exchanges such Paired Interest pursuant to the terms of the Amended Rani LLC Agreement. As of March 31, 2026, certain individuals who continue to own interests in Rani LLC but do not hold shares of the Company’s Class B common stock (“non-corresponding Class A Units”) have the ability to exchange their non-corresponding Class A Units of Rani LLC for 1,124,194 shares of the Company’s Class A common stock.</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87" w:lineRule="exact"/>
        <w:rPr>
          <w:sz w:val="20"/>
          <w:szCs w:val="20"/>
          <w:color w:val="auto"/>
        </w:rPr>
      </w:pPr>
    </w:p>
    <w:p>
      <w:pPr>
        <w:ind w:left="640" w:right="679" w:firstLine="701"/>
        <w:spacing w:after="0" w:line="263" w:lineRule="auto"/>
        <w:rPr>
          <w:sz w:val="20"/>
          <w:szCs w:val="20"/>
          <w:color w:val="auto"/>
        </w:rPr>
      </w:pPr>
      <w:r>
        <w:rPr>
          <w:rFonts w:ascii="Times New Roman" w:cs="Times New Roman" w:eastAsia="Times New Roman" w:hAnsi="Times New Roman"/>
          <w:sz w:val="14"/>
          <w:szCs w:val="14"/>
          <w:color w:val="auto"/>
        </w:rPr>
        <w:t>The Company has incurred recurring losses and negative cash flows from operations since its inception, including net loss of $8.0 million for the three months ended March 31, 2026. As of March 31, 2026, the Company had an accumulated deficit of $139.6 million and for the three months ended March 31, 2026, had negative cash flows from operations of $6.5 million. The Company expects that its cash, cash equivalents and marketable securities of $43.4 million as of March 31, 2026, will be sufficient to fund its operations through at least twelve months from the date that its condensed consolidated financial statements for the three months ended March 31, 2026 are issued.</w:t>
      </w:r>
    </w:p>
    <w:p>
      <w:pPr>
        <w:spacing w:after="0" w:line="144" w:lineRule="exact"/>
        <w:rPr>
          <w:sz w:val="20"/>
          <w:szCs w:val="20"/>
          <w:color w:val="auto"/>
        </w:rPr>
      </w:pPr>
    </w:p>
    <w:p>
      <w:pPr>
        <w:ind w:left="640" w:right="759" w:firstLine="701"/>
        <w:spacing w:after="0" w:line="260" w:lineRule="auto"/>
        <w:rPr>
          <w:sz w:val="20"/>
          <w:szCs w:val="20"/>
          <w:color w:val="auto"/>
        </w:rPr>
      </w:pPr>
      <w:r>
        <w:rPr>
          <w:rFonts w:ascii="Times New Roman" w:cs="Times New Roman" w:eastAsia="Times New Roman" w:hAnsi="Times New Roman"/>
          <w:sz w:val="14"/>
          <w:szCs w:val="14"/>
          <w:color w:val="auto"/>
        </w:rPr>
        <w:t>The Company expects to continue to generate operating losses and negative operating cash flows for the foreseeable future as it continues to develop the RaniPill capsule. The Company expects to finance its future operations with its existing cash and through strategic financing opportunities that could include, but are not limited to, future offerings of its equity, collaboration or licensing agreements, or the incurrence of debt. However, there is no guarantee that any of these strategic or financing opportunities will be executed or realized on favorable terms, if at all. The Company will not generate any revenue from product sales unless, and until, it successfully completes clinical development and obtains regulatory approval of its product candidates. While the Company may generate collaboration or license revenue prior to product approval, the timing and amount of such revenue are inherently uncertain. If the Company obtains regulatory approval for the RaniPill capsule, it expects to incur significant expenses related to developing its internal commercialization capability to support manufacturing, product sales, marketing, and distribution.</w:t>
      </w:r>
    </w:p>
    <w:p>
      <w:pPr>
        <w:spacing w:after="0" w:line="149" w:lineRule="exact"/>
        <w:rPr>
          <w:sz w:val="20"/>
          <w:szCs w:val="20"/>
          <w:color w:val="auto"/>
        </w:rPr>
      </w:pPr>
    </w:p>
    <w:p>
      <w:pPr>
        <w:ind w:left="640" w:right="659" w:firstLine="701"/>
        <w:spacing w:after="0" w:line="292" w:lineRule="auto"/>
        <w:rPr>
          <w:sz w:val="20"/>
          <w:szCs w:val="20"/>
          <w:color w:val="auto"/>
        </w:rPr>
      </w:pPr>
      <w:r>
        <w:rPr>
          <w:rFonts w:ascii="Times New Roman" w:cs="Times New Roman" w:eastAsia="Times New Roman" w:hAnsi="Times New Roman"/>
          <w:sz w:val="14"/>
          <w:szCs w:val="14"/>
          <w:color w:val="auto"/>
        </w:rPr>
        <w:t>The Company’s ability to raise additional capital through either the issuance of equity or debt is dependent on a number of factors including, but not limited to, the market interest of the Company, which itself is subject to a number of development and</w:t>
      </w:r>
    </w:p>
    <w:p>
      <w:pPr>
        <w:spacing w:after="0" w:line="12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0" w:name="page11"/>
    <w:bookmarkEnd w:id="10"/>
    <w:p>
      <w:pPr>
        <w:ind w:left="640" w:right="679"/>
        <w:spacing w:after="0" w:line="292" w:lineRule="auto"/>
        <w:rPr>
          <w:sz w:val="20"/>
          <w:szCs w:val="20"/>
          <w:color w:val="auto"/>
        </w:rPr>
      </w:pPr>
      <w:r>
        <w:rPr>
          <w:rFonts w:ascii="Times New Roman" w:cs="Times New Roman" w:eastAsia="Times New Roman" w:hAnsi="Times New Roman"/>
          <w:sz w:val="14"/>
          <w:szCs w:val="14"/>
          <w:color w:val="auto"/>
        </w:rPr>
        <w:t>business risks and uncertainties, as well as the uncertainty that the Company would be able to raise such additional capital at a price or on terms that are favorable to the Company.</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7" w:lineRule="exact"/>
        <w:rPr>
          <w:sz w:val="20"/>
          <w:szCs w:val="20"/>
          <w:color w:val="auto"/>
        </w:rPr>
      </w:pPr>
    </w:p>
    <w:p>
      <w:pPr>
        <w:ind w:left="640" w:right="659" w:firstLine="701"/>
        <w:spacing w:after="0" w:line="292" w:lineRule="auto"/>
        <w:rPr>
          <w:sz w:val="20"/>
          <w:szCs w:val="20"/>
          <w:color w:val="auto"/>
        </w:rPr>
      </w:pPr>
      <w:r>
        <w:rPr>
          <w:rFonts w:ascii="Times New Roman" w:cs="Times New Roman" w:eastAsia="Times New Roman" w:hAnsi="Times New Roman"/>
          <w:sz w:val="14"/>
          <w:szCs w:val="14"/>
          <w:color w:val="auto"/>
        </w:rPr>
        <w:t>These condensed consolidated financial statements have been prepared in accordance with accounting principles generally accepted in the United States of America (“U.S. GAAP”).</w:t>
      </w:r>
    </w:p>
    <w:p>
      <w:pPr>
        <w:spacing w:after="0" w:line="124"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Unaudited Interim Condensed Consolidated Financial Statements</w:t>
      </w:r>
    </w:p>
    <w:p>
      <w:pPr>
        <w:spacing w:after="0" w:line="187" w:lineRule="exact"/>
        <w:rPr>
          <w:sz w:val="20"/>
          <w:szCs w:val="20"/>
          <w:color w:val="auto"/>
        </w:rPr>
      </w:pPr>
    </w:p>
    <w:p>
      <w:pPr>
        <w:ind w:left="640" w:right="659" w:firstLine="701"/>
        <w:spacing w:after="0" w:line="262"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Operating results for the three months ended March 31, 2026 are not necessarily indicative of the results that may be expected for the year ending December 31, 2026 or for any future period.</w:t>
      </w:r>
    </w:p>
    <w:p>
      <w:pPr>
        <w:spacing w:after="0" w:line="144"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The consolidated balance sheet as of December 31, 2025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2025 consolidated financial statements and notes included in the Company’s Annual Report on Form 10-K filed with the SEC on March 26, 2026.</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7" w:lineRule="exact"/>
        <w:rPr>
          <w:sz w:val="20"/>
          <w:szCs w:val="20"/>
          <w:color w:val="auto"/>
        </w:rPr>
      </w:pPr>
    </w:p>
    <w:p>
      <w:pPr>
        <w:ind w:left="640" w:right="739" w:firstLine="701"/>
        <w:spacing w:after="0" w:line="264" w:lineRule="auto"/>
        <w:rPr>
          <w:sz w:val="20"/>
          <w:szCs w:val="20"/>
          <w:color w:val="auto"/>
        </w:rPr>
      </w:pPr>
      <w:r>
        <w:rPr>
          <w:rFonts w:ascii="Times New Roman" w:cs="Times New Roman" w:eastAsia="Times New Roman" w:hAnsi="Times New Roman"/>
          <w:sz w:val="14"/>
          <w:szCs w:val="14"/>
          <w:color w:val="auto"/>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 Company evaluates its estimates on an ongoing basis. The Company bases its estimates on its historical experience and also on assumptions that the Company believes are reasonable; however, actual results may differ materially and adversely from these estimates.</w:t>
      </w:r>
    </w:p>
    <w:p>
      <w:pPr>
        <w:spacing w:after="0" w:line="3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Significant Accounting Policies</w:t>
      </w:r>
    </w:p>
    <w:p>
      <w:pPr>
        <w:spacing w:after="0" w:line="187" w:lineRule="exact"/>
        <w:rPr>
          <w:sz w:val="20"/>
          <w:szCs w:val="20"/>
          <w:color w:val="auto"/>
        </w:rPr>
      </w:pPr>
    </w:p>
    <w:p>
      <w:pPr>
        <w:ind w:left="640" w:right="639" w:firstLine="701"/>
        <w:spacing w:after="0" w:line="274" w:lineRule="auto"/>
        <w:rPr>
          <w:sz w:val="20"/>
          <w:szCs w:val="20"/>
          <w:color w:val="auto"/>
        </w:rPr>
      </w:pPr>
      <w:r>
        <w:rPr>
          <w:rFonts w:ascii="Times New Roman" w:cs="Times New Roman" w:eastAsia="Times New Roman" w:hAnsi="Times New Roman"/>
          <w:sz w:val="14"/>
          <w:szCs w:val="14"/>
          <w:color w:val="auto"/>
        </w:rPr>
        <w:t>A description of the Company’s significant accounting policies is included in the audited consolidated financial statements within its Annual Report on Form 10-K for the year ended December 31, 2025. Except as noted below, there have been no material changes in the Company’s significant accounting policies during the three months ended March 31, 2026.</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 Equivalents</w:t>
      </w:r>
    </w:p>
    <w:p>
      <w:pPr>
        <w:spacing w:after="0" w:line="187" w:lineRule="exact"/>
        <w:rPr>
          <w:sz w:val="20"/>
          <w:szCs w:val="20"/>
          <w:color w:val="auto"/>
        </w:rPr>
      </w:pPr>
    </w:p>
    <w:p>
      <w:pPr>
        <w:ind w:left="640" w:right="779" w:firstLine="701"/>
        <w:spacing w:after="0" w:line="274"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equivalents reported as a component of prepaid expenses and other current assets on the condensed consolidated balance sheet which, in aggregate, represents the amount reported in the condensed consolidated statements of cash flows for the three months ended March 31, 2026 and 2025:</w:t>
      </w:r>
    </w:p>
    <w:p>
      <w:pPr>
        <w:spacing w:after="0" w:line="30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11" w:name="page12"/>
    <w:bookmarkEnd w:id="11"/>
    <w:tbl>
      <w:tblPr>
        <w:tblLayout w:type="fixed"/>
        <w:tblInd w:w="1220" w:type="dxa"/>
        <w:tblCellMar>
          <w:top w:w="0" w:type="dxa"/>
          <w:left w:w="0" w:type="dxa"/>
          <w:bottom w:w="0" w:type="dxa"/>
          <w:right w:w="0" w:type="dxa"/>
        </w:tblCellMar>
      </w:tblPr>
      <w:tr>
        <w:trPr>
          <w:trHeight w:val="137"/>
        </w:trPr>
        <w:tc>
          <w:tcPr>
            <w:tcW w:w="45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52"/>
        </w:trPr>
        <w:tc>
          <w:tcPr>
            <w:tcW w:w="450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r>
      <w:tr>
        <w:trPr>
          <w:trHeight w:val="16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80" w:type="dxa"/>
            <w:vAlign w:val="bottom"/>
            <w:shd w:val="clear" w:color="auto" w:fill="CFF0FC"/>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9,644</w:t>
            </w:r>
          </w:p>
        </w:tc>
        <w:tc>
          <w:tcPr>
            <w:tcW w:w="4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10,111</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4"/>
                <w:szCs w:val="14"/>
                <w:color w:val="auto"/>
              </w:rPr>
            </w:pPr>
          </w:p>
        </w:tc>
      </w:tr>
      <w:tr>
        <w:trPr>
          <w:trHeight w:val="203"/>
        </w:trPr>
        <w:tc>
          <w:tcPr>
            <w:tcW w:w="4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cash, cash equivalents and restricted cash equivalents</w:t>
            </w:r>
          </w:p>
        </w:tc>
        <w:tc>
          <w:tcPr>
            <w:tcW w:w="580" w:type="dxa"/>
            <w:vAlign w:val="bottom"/>
            <w:tcBorders>
              <w:bottom w:val="single" w:sz="8" w:color="auto"/>
            </w:tcBorders>
            <w:shd w:val="clear" w:color="auto" w:fill="CFF0FC"/>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9,844</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10,611</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-19685</wp:posOffset>
            </wp:positionV>
            <wp:extent cx="4064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-6350</wp:posOffset>
            </wp:positionV>
            <wp:extent cx="4064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and Allowance for Credit Losses</w:t>
      </w:r>
    </w:p>
    <w:p>
      <w:pPr>
        <w:spacing w:after="0" w:line="187"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Accounts receivable primarily consist of amounts due from customers under revenue arrangements. Receivables are recorded when revenue is recognized and are recorded net of any allowance for current expected credit losses measured based on historical experience, current conditions, and reasonable and supportable forecasts. The Company evaluates its accounts receivable for expected credit losses in accordance with ASC 326 “Financial Instruments - Credit Losses” (“ASC 326”). Receivables are primarily due from collaboration partners and government agencies with strong credit profiles. The Company has no history of credit losses with these counterparties and collection has historically occurred within contractual terms. As of March 31, 2026 and December 31, 2025, the Company has determined that no allowance for credit losses was required, and no write-offs or recoveries were recognized during both periods.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87" w:lineRule="exact"/>
        <w:rPr>
          <w:sz w:val="20"/>
          <w:szCs w:val="20"/>
          <w:color w:val="auto"/>
        </w:rPr>
      </w:pPr>
    </w:p>
    <w:p>
      <w:pPr>
        <w:ind w:left="640" w:right="839" w:firstLine="701"/>
        <w:spacing w:after="0" w:line="263" w:lineRule="auto"/>
        <w:rPr>
          <w:sz w:val="20"/>
          <w:szCs w:val="20"/>
          <w:color w:val="auto"/>
        </w:rPr>
      </w:pPr>
      <w:r>
        <w:rPr>
          <w:rFonts w:ascii="Times New Roman" w:cs="Times New Roman" w:eastAsia="Times New Roman" w:hAnsi="Times New Roman"/>
          <w:sz w:val="14"/>
          <w:szCs w:val="14"/>
          <w:color w:val="auto"/>
        </w:rPr>
        <w:t>A contract asset is created when the Company satisfies a performance obligation by transferring a promised good or service to the customer. Contract assets represent conditional rights to consideration when the Company must first satisfy another performance obligation in the contract before it is entitled to payment from the customer. Contract assets are transferred to accounts receivable once the right to consideration becomes unconditional and presented separately from contract assets. A right is unconditional if nothing other than the passage of time is required before payment of that consideration is due. During the three months ended March 31, 2026, net change on contract asset balance due to timing of billing, payment and recognition was $0.</w:t>
      </w:r>
    </w:p>
    <w:p>
      <w:pPr>
        <w:spacing w:after="0" w:line="144" w:lineRule="exact"/>
        <w:rPr>
          <w:sz w:val="20"/>
          <w:szCs w:val="20"/>
          <w:color w:val="auto"/>
        </w:rPr>
      </w:pPr>
    </w:p>
    <w:p>
      <w:pPr>
        <w:ind w:left="640" w:right="779" w:firstLine="701"/>
        <w:spacing w:after="0" w:line="292" w:lineRule="auto"/>
        <w:rPr>
          <w:sz w:val="20"/>
          <w:szCs w:val="20"/>
          <w:color w:val="auto"/>
        </w:rPr>
      </w:pPr>
      <w:r>
        <w:rPr>
          <w:rFonts w:ascii="Times New Roman" w:cs="Times New Roman" w:eastAsia="Times New Roman" w:hAnsi="Times New Roman"/>
          <w:sz w:val="14"/>
          <w:szCs w:val="14"/>
          <w:color w:val="auto"/>
        </w:rPr>
        <w:t>Contract liabilities are recorded as deferred revenue on the condensed consolidated balance sheets and include payments received in advance of performance obligations or where the Company has unsatisfied performance obligations.</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Significant changes in contract liabilities (deferred revenue) in the three months ended March 31, 2026 were as follows (in</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thousands):</w:t>
      </w:r>
    </w:p>
    <w:p>
      <w:pPr>
        <w:spacing w:after="0" w:line="184"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Contract liabilities, beginning of period</w:t>
            </w:r>
          </w:p>
        </w:tc>
        <w:tc>
          <w:tcPr>
            <w:tcW w:w="196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8,539</w:t>
            </w:r>
          </w:p>
        </w:tc>
        <w:tc>
          <w:tcPr>
            <w:tcW w:w="80" w:type="dxa"/>
            <w:vAlign w:val="bottom"/>
            <w:shd w:val="clear" w:color="auto" w:fill="CFF0FC"/>
          </w:tcPr>
          <w:p>
            <w:pPr>
              <w:spacing w:after="0"/>
              <w:rPr>
                <w:sz w:val="14"/>
                <w:szCs w:val="14"/>
                <w:color w:val="auto"/>
              </w:rPr>
            </w:pPr>
          </w:p>
        </w:tc>
      </w:tr>
      <w:tr>
        <w:trPr>
          <w:trHeight w:val="172"/>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Revenue recognized</w:t>
            </w: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(1,708)</w:t>
            </w:r>
          </w:p>
        </w:tc>
      </w:tr>
      <w:tr>
        <w:trPr>
          <w:trHeight w:val="203"/>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Contract liabilities, end of period</w:t>
            </w:r>
          </w:p>
        </w:tc>
        <w:tc>
          <w:tcPr>
            <w:tcW w:w="14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3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55" w:lineRule="exact"/>
        <w:rPr>
          <w:sz w:val="20"/>
          <w:szCs w:val="20"/>
          <w:color w:val="auto"/>
        </w:rPr>
      </w:pPr>
    </w:p>
    <w:p>
      <w:pPr>
        <w:ind w:left="640" w:right="659" w:firstLine="701"/>
        <w:spacing w:after="0" w:line="177" w:lineRule="exact"/>
        <w:rPr>
          <w:sz w:val="20"/>
          <w:szCs w:val="20"/>
          <w:color w:val="auto"/>
        </w:rPr>
      </w:pPr>
      <w:r>
        <w:rPr>
          <w:rFonts w:ascii="Times New Roman" w:cs="Times New Roman" w:eastAsia="Times New Roman" w:hAnsi="Times New Roman"/>
          <w:sz w:val="14"/>
          <w:szCs w:val="14"/>
          <w:color w:val="auto"/>
        </w:rPr>
        <w:t>In July 2025, the Financial Accounting Standards Board (the "FASB") issued ASU 2025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05, Financial Instruments - Credit Losses (Topic 326): Measurement of Credit Losses for Accounts Receivable and Contract Assets ("ASU 2025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05"), which amends the guidance for estimating expected credit losses for financial assets within the scope of ASC 326. The amendments allow all entities to elect a practical expedient to assume that the current conditions as of the balance sheet date will remain unchanged for the remaining life of the asset when developing a reasonable and supportable forecast as part of estimating expected credit losses on these assets. Entities are required to disclose their practical expedient and accounting policy elections. The guidance is effective for fiscal years beginning after December 15, 2025, and interim periods within those fiscal years. The Company adopted ASU 2025-05 effective January 1, 2026. The Company elected the practical expedient and adoption did not have a material impact on its condensed consolidated financial statements.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Not Yet Adopted</w:t>
      </w:r>
    </w:p>
    <w:p>
      <w:pPr>
        <w:spacing w:after="0" w:line="187" w:lineRule="exact"/>
        <w:rPr>
          <w:sz w:val="20"/>
          <w:szCs w:val="20"/>
          <w:color w:val="auto"/>
        </w:rPr>
      </w:pPr>
    </w:p>
    <w:p>
      <w:pPr>
        <w:ind w:left="640" w:right="679" w:firstLine="701"/>
        <w:spacing w:after="0" w:line="174" w:lineRule="exact"/>
        <w:rPr>
          <w:sz w:val="20"/>
          <w:szCs w:val="20"/>
          <w:color w:val="auto"/>
        </w:rPr>
      </w:pPr>
      <w:r>
        <w:rPr>
          <w:rFonts w:ascii="Times New Roman" w:cs="Times New Roman" w:eastAsia="Times New Roman" w:hAnsi="Times New Roman"/>
          <w:sz w:val="14"/>
          <w:szCs w:val="14"/>
          <w:color w:val="auto"/>
        </w:rPr>
        <w:t>In December 2025, the FASB issued Accounting Standards Update ("ASU") 2025-11, Interim Reporting (Topic 270): Narrow-Scope Improvements ("ASU 2025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11"). The amendments clarify the scope of interim reporting guidance in U.S. GAAP, consolidate interim disclosure requirements from other codification topics, and introduce a disclosure principle requiring entities to describe events occurring after the end of the most recent annual period that have a material effect on the entity. The ASU is effective for annual periods beginning after December 15, 2027 and for interim periods within fiscal years beginning after December 15, 2028. Early adoption is permitted. The Company is currently evaluating the effect of this update; however, because the amendments primarily clarify existing interim reporting requirements and do not significantly expand disclosure obligations, the Company does not expect the ASU to have a material impact on its condensed consolidated financial statements.</w:t>
      </w:r>
    </w:p>
    <w:p>
      <w:pPr>
        <w:spacing w:after="0" w:line="162"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12" w:name="page13"/>
    <w:bookmarkEnd w:id="12"/>
    <w:p>
      <w:pPr>
        <w:ind w:left="640" w:right="659" w:firstLine="701"/>
        <w:spacing w:after="0" w:line="265"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 Reporting Comprehensive Income - Expense Disaggregation Disclosures (Subtopic 220-40) ("ASU 2024-03"). ASU 2024-03 provides disaggregated information about certain income statement costs and expenses. This guidance is effective for the Company’s annual periods beginning after December 15, 2026, and interim reporting periods beginning after December 15, 2027, with early adoption permitted. The Company is evaluating the impact of this guidance on its condensed consolidated financial statements and related disclosures.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3. Cash Equivalents, Restricted Cash Equivalents and Marketable Securities</w:t>
      </w:r>
    </w:p>
    <w:p>
      <w:pPr>
        <w:spacing w:after="0" w:line="185" w:lineRule="exact"/>
        <w:rPr>
          <w:sz w:val="20"/>
          <w:szCs w:val="20"/>
          <w:color w:val="auto"/>
        </w:rPr>
      </w:pPr>
    </w:p>
    <w:p>
      <w:pPr>
        <w:ind w:left="640" w:right="101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tables summarize the amortized cost and fair value of the Company's cash equivalents, restricted cash equivalents and marketable securities by major investment category (in thousands):</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68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140" w:type="dxa"/>
            <w:vAlign w:val="bottom"/>
          </w:tcPr>
          <w:p>
            <w:pPr>
              <w:spacing w:after="0"/>
              <w:rPr>
                <w:sz w:val="7"/>
                <w:szCs w:val="7"/>
                <w:color w:val="auto"/>
              </w:rPr>
            </w:pPr>
          </w:p>
        </w:tc>
        <w:tc>
          <w:tcPr>
            <w:tcW w:w="70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40" w:type="dxa"/>
            <w:vAlign w:val="bottom"/>
          </w:tcPr>
          <w:p>
            <w:pPr>
              <w:spacing w:after="0"/>
              <w:rPr>
                <w:sz w:val="7"/>
                <w:szCs w:val="7"/>
                <w:color w:val="auto"/>
              </w:rPr>
            </w:pPr>
          </w:p>
        </w:tc>
        <w:tc>
          <w:tcPr>
            <w:tcW w:w="820" w:type="dxa"/>
            <w:vAlign w:val="bottom"/>
            <w:gridSpan w:val="3"/>
          </w:tcPr>
          <w:p>
            <w:pPr>
              <w:jc w:val="center"/>
              <w:ind w:right="200"/>
              <w:spacing w:after="0" w:line="90"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80" w:type="dxa"/>
            <w:vAlign w:val="bottom"/>
          </w:tcPr>
          <w:p>
            <w:pPr>
              <w:spacing w:after="0"/>
              <w:rPr>
                <w:sz w:val="7"/>
                <w:szCs w:val="7"/>
                <w:color w:val="auto"/>
              </w:rPr>
            </w:pPr>
          </w:p>
        </w:tc>
        <w:tc>
          <w:tcPr>
            <w:tcW w:w="600" w:type="dxa"/>
            <w:vAlign w:val="bottom"/>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Estimated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8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equivalents: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cash equivalents and restricted cash equivalents</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 paper</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33,771</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Borders>
              <w:top w:val="single" w:sz="8" w:color="CFF0FC"/>
              <w:bottom w:val="single" w:sz="8" w:color="CFF0FC"/>
              <w:right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33,759</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Total cash equivalents, restricted cash equivalents and</w:t>
            </w:r>
          </w:p>
        </w:tc>
        <w:tc>
          <w:tcPr>
            <w:tcW w:w="14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43,193</w:t>
            </w:r>
          </w:p>
        </w:tc>
        <w:tc>
          <w:tcPr>
            <w:tcW w:w="14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43,181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3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68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140" w:type="dxa"/>
            <w:vAlign w:val="bottom"/>
          </w:tcPr>
          <w:p>
            <w:pPr>
              <w:spacing w:after="0"/>
              <w:rPr>
                <w:sz w:val="7"/>
                <w:szCs w:val="7"/>
                <w:color w:val="auto"/>
              </w:rPr>
            </w:pPr>
          </w:p>
        </w:tc>
        <w:tc>
          <w:tcPr>
            <w:tcW w:w="70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40" w:type="dxa"/>
            <w:vAlign w:val="bottom"/>
          </w:tcPr>
          <w:p>
            <w:pPr>
              <w:spacing w:after="0"/>
              <w:rPr>
                <w:sz w:val="7"/>
                <w:szCs w:val="7"/>
                <w:color w:val="auto"/>
              </w:rPr>
            </w:pPr>
          </w:p>
        </w:tc>
        <w:tc>
          <w:tcPr>
            <w:tcW w:w="820" w:type="dxa"/>
            <w:vAlign w:val="bottom"/>
            <w:gridSpan w:val="3"/>
          </w:tcPr>
          <w:p>
            <w:pPr>
              <w:jc w:val="center"/>
              <w:ind w:right="200"/>
              <w:spacing w:after="0" w:line="90"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80" w:type="dxa"/>
            <w:vAlign w:val="bottom"/>
          </w:tcPr>
          <w:p>
            <w:pPr>
              <w:spacing w:after="0"/>
              <w:rPr>
                <w:sz w:val="7"/>
                <w:szCs w:val="7"/>
                <w:color w:val="auto"/>
              </w:rPr>
            </w:pPr>
          </w:p>
        </w:tc>
        <w:tc>
          <w:tcPr>
            <w:tcW w:w="600" w:type="dxa"/>
            <w:vAlign w:val="bottom"/>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Estimated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8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equivalents: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Commercial paper</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cash equivalents</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17,238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17,238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cash equivalents and restricted cash equivalents</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3,233</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Commercial paper</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31,092</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31,091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33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Total cash equivalents, restricted cash equivalents and</w:t>
            </w:r>
          </w:p>
        </w:tc>
        <w:tc>
          <w:tcPr>
            <w:tcW w:w="14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48,530</w:t>
            </w:r>
          </w:p>
        </w:tc>
        <w:tc>
          <w:tcPr>
            <w:tcW w:w="14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48,529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3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-3163570</wp:posOffset>
            </wp:positionV>
            <wp:extent cx="4064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-3163570</wp:posOffset>
            </wp:positionV>
            <wp:extent cx="4064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-3163570</wp:posOffset>
            </wp:positionV>
            <wp:extent cx="4064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-3163570</wp:posOffset>
            </wp:positionV>
            <wp:extent cx="4064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3317875</wp:posOffset>
            </wp:positionH>
            <wp:positionV relativeFrom="paragraph">
              <wp:posOffset>-2603500</wp:posOffset>
            </wp:positionV>
            <wp:extent cx="66040" cy="147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-2603500</wp:posOffset>
            </wp:positionV>
            <wp:extent cx="66040" cy="147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-2603500</wp:posOffset>
            </wp:positionV>
            <wp:extent cx="66040" cy="147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-913130</wp:posOffset>
            </wp:positionV>
            <wp:extent cx="4064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-913130</wp:posOffset>
            </wp:positionV>
            <wp:extent cx="4064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-913130</wp:posOffset>
            </wp:positionV>
            <wp:extent cx="4064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-913130</wp:posOffset>
            </wp:positionV>
            <wp:extent cx="4064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3317875</wp:posOffset>
            </wp:positionH>
            <wp:positionV relativeFrom="paragraph">
              <wp:posOffset>-353060</wp:posOffset>
            </wp:positionV>
            <wp:extent cx="66040" cy="147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-353060</wp:posOffset>
            </wp:positionV>
            <wp:extent cx="66040" cy="147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040" cy="1479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-353060</wp:posOffset>
            </wp:positionV>
            <wp:extent cx="66040" cy="147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040" cy="147955"/>
                    </a:xfrm>
                    <a:prstGeom prst="rect">
                      <a:avLst/>
                    </a:prstGeom>
                    <a:noFill/>
                  </pic:spPr>
                </pic:pic>
              </a:graphicData>
            </a:graphic>
          </wp:anchor>
        </w:drawing>
      </w:r>
    </w:p>
    <w:p>
      <w:pPr>
        <w:spacing w:after="0" w:line="83" w:lineRule="exact"/>
        <w:rPr>
          <w:sz w:val="20"/>
          <w:szCs w:val="20"/>
          <w:color w:val="auto"/>
        </w:rPr>
      </w:pPr>
    </w:p>
    <w:p>
      <w:pPr>
        <w:ind w:left="640" w:right="759" w:firstLine="701"/>
        <w:spacing w:after="0" w:line="261" w:lineRule="auto"/>
        <w:rPr>
          <w:sz w:val="20"/>
          <w:szCs w:val="20"/>
          <w:color w:val="auto"/>
        </w:rPr>
      </w:pPr>
      <w:r>
        <w:rPr>
          <w:rFonts w:ascii="Times New Roman" w:cs="Times New Roman" w:eastAsia="Times New Roman" w:hAnsi="Times New Roman"/>
          <w:sz w:val="14"/>
          <w:szCs w:val="14"/>
          <w:color w:val="auto"/>
        </w:rPr>
        <w:t>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March 31, 2026,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March 31, 2026. As of March 31, 2026 and December 31, 2025, interest income receivable recorded as a component of prepaid expenses and other current assets on the condensed consolidated balance sheet was de minimis for both periods.</w:t>
      </w:r>
    </w:p>
    <w:p>
      <w:pPr>
        <w:spacing w:after="0" w:line="14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185" w:lineRule="exact"/>
        <w:rPr>
          <w:sz w:val="20"/>
          <w:szCs w:val="20"/>
          <w:color w:val="auto"/>
        </w:rPr>
      </w:pPr>
    </w:p>
    <w:p>
      <w:pPr>
        <w:ind w:left="640" w:right="87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tables detail information about the Company’s financial assets and liabilities measured at fair value on a recurring basis and indicate the level of inputs used in such measurements (in thousands):</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2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2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90"/>
              <w:spacing w:after="0" w:line="10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140" w:type="dxa"/>
            <w:vAlign w:val="bottom"/>
          </w:tcPr>
          <w:p>
            <w:pPr>
              <w:spacing w:after="0"/>
              <w:rPr>
                <w:sz w:val="9"/>
                <w:szCs w:val="9"/>
                <w:color w:val="auto"/>
              </w:rPr>
            </w:pPr>
          </w:p>
        </w:tc>
        <w:tc>
          <w:tcPr>
            <w:tcW w:w="52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1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50"/>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9"/>
                <w:szCs w:val="9"/>
                <w:color w:val="auto"/>
              </w:rPr>
            </w:pPr>
          </w:p>
        </w:tc>
      </w:tr>
      <w:tr>
        <w:trPr>
          <w:trHeight w:val="163"/>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equivalents: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90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40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9,222</w:t>
            </w:r>
          </w:p>
        </w:tc>
        <w:tc>
          <w:tcPr>
            <w:tcW w:w="80" w:type="dxa"/>
            <w:vAlign w:val="bottom"/>
            <w:shd w:val="clear" w:color="auto" w:fill="CFF0FC"/>
          </w:tcPr>
          <w:p>
            <w:pPr>
              <w:spacing w:after="0"/>
              <w:rPr>
                <w:sz w:val="14"/>
                <w:szCs w:val="14"/>
                <w:color w:val="auto"/>
              </w:rPr>
            </w:pPr>
          </w:p>
        </w:tc>
      </w:tr>
      <w:tr>
        <w:trPr>
          <w:trHeight w:val="172"/>
        </w:trPr>
        <w:tc>
          <w:tcPr>
            <w:tcW w:w="2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FF0FC"/>
          </w:tcPr>
          <w:p>
            <w:pPr>
              <w:spacing w:after="0"/>
              <w:rPr>
                <w:sz w:val="14"/>
                <w:szCs w:val="14"/>
                <w:color w:val="auto"/>
              </w:rPr>
            </w:pPr>
          </w:p>
        </w:tc>
      </w:tr>
      <w:tr>
        <w:trPr>
          <w:trHeight w:val="172"/>
        </w:trPr>
        <w:tc>
          <w:tcPr>
            <w:tcW w:w="2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Marketable securities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30,521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30,521</w:t>
            </w:r>
          </w:p>
        </w:tc>
        <w:tc>
          <w:tcPr>
            <w:tcW w:w="80" w:type="dxa"/>
            <w:vAlign w:val="bottom"/>
            <w:shd w:val="clear" w:color="auto" w:fill="CFF0FC"/>
          </w:tcPr>
          <w:p>
            <w:pPr>
              <w:spacing w:after="0"/>
              <w:rPr>
                <w:sz w:val="14"/>
                <w:szCs w:val="14"/>
                <w:color w:val="auto"/>
              </w:rPr>
            </w:pPr>
          </w:p>
        </w:tc>
      </w:tr>
      <w:tr>
        <w:trPr>
          <w:trHeight w:val="172"/>
        </w:trPr>
        <w:tc>
          <w:tcPr>
            <w:tcW w:w="2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80" w:type="dxa"/>
            <w:vAlign w:val="bottom"/>
          </w:tcPr>
          <w:p>
            <w:pPr>
              <w:spacing w:after="0"/>
              <w:rPr>
                <w:sz w:val="14"/>
                <w:szCs w:val="14"/>
                <w:color w:val="auto"/>
              </w:rPr>
            </w:pPr>
          </w:p>
        </w:tc>
      </w:tr>
      <w:tr>
        <w:trPr>
          <w:trHeight w:val="172"/>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7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4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80" w:type="dxa"/>
            <w:vAlign w:val="bottom"/>
            <w:shd w:val="clear" w:color="auto" w:fill="CFF0FC"/>
          </w:tcPr>
          <w:p>
            <w:pPr>
              <w:spacing w:after="0"/>
              <w:rPr>
                <w:sz w:val="14"/>
                <w:szCs w:val="14"/>
                <w:color w:val="auto"/>
              </w:rPr>
            </w:pPr>
          </w:p>
        </w:tc>
      </w:tr>
      <w:tr>
        <w:trPr>
          <w:trHeight w:val="163"/>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780" w:type="dxa"/>
            <w:vAlign w:val="bottom"/>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39,943</w:t>
            </w: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43,181</w:t>
            </w:r>
          </w:p>
        </w:tc>
        <w:tc>
          <w:tcPr>
            <w:tcW w:w="80" w:type="dxa"/>
            <w:vAlign w:val="bottom"/>
          </w:tcPr>
          <w:p>
            <w:pPr>
              <w:spacing w:after="0"/>
              <w:rPr>
                <w:sz w:val="14"/>
                <w:szCs w:val="14"/>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4"/>
        </w:trPr>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09"/>
        </w:trPr>
        <w:tc>
          <w:tcPr>
            <w:tcW w:w="2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90"/>
              <w:spacing w:after="0" w:line="10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140" w:type="dxa"/>
            <w:vAlign w:val="bottom"/>
          </w:tcPr>
          <w:p>
            <w:pPr>
              <w:spacing w:after="0"/>
              <w:rPr>
                <w:sz w:val="9"/>
                <w:szCs w:val="9"/>
                <w:color w:val="auto"/>
              </w:rPr>
            </w:pPr>
          </w:p>
        </w:tc>
        <w:tc>
          <w:tcPr>
            <w:tcW w:w="52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1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50"/>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9"/>
                <w:szCs w:val="9"/>
                <w:color w:val="auto"/>
              </w:rPr>
            </w:pPr>
          </w:p>
        </w:tc>
      </w:tr>
      <w:tr>
        <w:trPr>
          <w:trHeight w:val="163"/>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equivalents: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90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40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80" w:type="dxa"/>
            <w:vAlign w:val="bottom"/>
            <w:shd w:val="clear" w:color="auto" w:fill="CFF0FC"/>
          </w:tcPr>
          <w:p>
            <w:pPr>
              <w:spacing w:after="0"/>
              <w:rPr>
                <w:sz w:val="14"/>
                <w:szCs w:val="14"/>
                <w:color w:val="auto"/>
              </w:rPr>
            </w:pPr>
          </w:p>
        </w:tc>
      </w:tr>
      <w:tr>
        <w:trPr>
          <w:trHeight w:val="172"/>
        </w:trPr>
        <w:tc>
          <w:tcPr>
            <w:tcW w:w="2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80" w:type="dxa"/>
            <w:vAlign w:val="bottom"/>
          </w:tcPr>
          <w:p>
            <w:pPr>
              <w:spacing w:after="0"/>
              <w:rPr>
                <w:sz w:val="14"/>
                <w:szCs w:val="14"/>
                <w:color w:val="auto"/>
              </w:rPr>
            </w:pPr>
          </w:p>
        </w:tc>
      </w:tr>
      <w:tr>
        <w:trPr>
          <w:trHeight w:val="172"/>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80" w:type="dxa"/>
            <w:vAlign w:val="bottom"/>
            <w:shd w:val="clear" w:color="auto" w:fill="CFF0FC"/>
          </w:tcPr>
          <w:p>
            <w:pPr>
              <w:spacing w:after="0"/>
              <w:rPr>
                <w:sz w:val="14"/>
                <w:szCs w:val="14"/>
                <w:color w:val="auto"/>
              </w:rPr>
            </w:pPr>
          </w:p>
        </w:tc>
      </w:tr>
      <w:tr>
        <w:trPr>
          <w:trHeight w:val="172"/>
        </w:trPr>
        <w:tc>
          <w:tcPr>
            <w:tcW w:w="2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80" w:type="dxa"/>
            <w:vAlign w:val="bottom"/>
          </w:tcPr>
          <w:p>
            <w:pPr>
              <w:spacing w:after="0"/>
              <w:rPr>
                <w:sz w:val="14"/>
                <w:szCs w:val="14"/>
                <w:color w:val="auto"/>
              </w:rPr>
            </w:pPr>
          </w:p>
        </w:tc>
      </w:tr>
      <w:tr>
        <w:trPr>
          <w:trHeight w:val="172"/>
        </w:trPr>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4"/>
                <w:szCs w:val="14"/>
                <w:color w:val="auto"/>
              </w:rPr>
            </w:pPr>
          </w:p>
        </w:tc>
      </w:tr>
      <w:tr>
        <w:trPr>
          <w:trHeight w:val="172"/>
        </w:trPr>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Marketable securities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25,867</w:t>
            </w:r>
          </w:p>
        </w:tc>
        <w:tc>
          <w:tcPr>
            <w:tcW w:w="80" w:type="dxa"/>
            <w:vAlign w:val="bottom"/>
          </w:tcPr>
          <w:p>
            <w:pPr>
              <w:spacing w:after="0"/>
              <w:rPr>
                <w:sz w:val="14"/>
                <w:szCs w:val="14"/>
                <w:color w:val="auto"/>
              </w:rPr>
            </w:pPr>
          </w:p>
        </w:tc>
      </w:tr>
      <w:tr>
        <w:trPr>
          <w:trHeight w:val="172"/>
        </w:trPr>
        <w:tc>
          <w:tcPr>
            <w:tcW w:w="2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3,233</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3,233</w:t>
            </w:r>
          </w:p>
        </w:tc>
        <w:tc>
          <w:tcPr>
            <w:tcW w:w="80" w:type="dxa"/>
            <w:vAlign w:val="bottom"/>
            <w:shd w:val="clear" w:color="auto" w:fill="CFF0FC"/>
          </w:tcPr>
          <w:p>
            <w:pPr>
              <w:spacing w:after="0"/>
              <w:rPr>
                <w:sz w:val="14"/>
                <w:szCs w:val="14"/>
                <w:color w:val="auto"/>
              </w:rPr>
            </w:pPr>
          </w:p>
        </w:tc>
      </w:tr>
      <w:tr>
        <w:trPr>
          <w:trHeight w:val="172"/>
        </w:trPr>
        <w:tc>
          <w:tcPr>
            <w:tcW w:w="25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7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4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80" w:type="dxa"/>
            <w:vAlign w:val="bottom"/>
            <w:tcBorders>
              <w:bottom w:val="single" w:sz="8" w:color="CFF0FC"/>
            </w:tcBorders>
          </w:tcPr>
          <w:p>
            <w:pPr>
              <w:spacing w:after="0"/>
              <w:rPr>
                <w:sz w:val="14"/>
                <w:szCs w:val="14"/>
                <w:color w:val="auto"/>
              </w:rPr>
            </w:pPr>
          </w:p>
        </w:tc>
      </w:tr>
      <w:tr>
        <w:trPr>
          <w:trHeight w:val="203"/>
        </w:trPr>
        <w:tc>
          <w:tcPr>
            <w:tcW w:w="2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7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39,715</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8,814</w:t>
            </w:r>
          </w:p>
        </w:tc>
        <w:tc>
          <w:tcPr>
            <w:tcW w:w="1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48,529</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-19685</wp:posOffset>
            </wp:positionV>
            <wp:extent cx="4064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-6350</wp:posOffset>
            </wp:positionV>
            <wp:extent cx="4064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-135890</wp:posOffset>
            </wp:positionV>
            <wp:extent cx="4064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-19685</wp:posOffset>
            </wp:positionV>
            <wp:extent cx="4064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-6350</wp:posOffset>
            </wp:positionV>
            <wp:extent cx="4064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-135890</wp:posOffset>
            </wp:positionV>
            <wp:extent cx="4064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-19685</wp:posOffset>
            </wp:positionV>
            <wp:extent cx="4064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-6350</wp:posOffset>
            </wp:positionV>
            <wp:extent cx="4064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-135890</wp:posOffset>
            </wp:positionV>
            <wp:extent cx="4064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-135890</wp:posOffset>
            </wp:positionV>
            <wp:extent cx="4064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Level 1 financial instruments are comprised of investments in money market funds and U.S. treasuries and agencies.</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Level 2 financial instruments are comprised of corporate debt securities and commercial paper.</w:t>
      </w:r>
    </w:p>
    <w:p>
      <w:pPr>
        <w:spacing w:after="0" w:line="16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There were no transfers between Level 1, Level 2 and Level 3 of the fair value hierarchy for any of the periods presented.</w:t>
      </w:r>
    </w:p>
    <w:p>
      <w:pPr>
        <w:spacing w:after="0" w:line="35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4"/>
          <w:szCs w:val="14"/>
          <w:b w:val="1"/>
          <w:bCs w:val="1"/>
          <w:color w:val="auto"/>
        </w:rPr>
        <w:t>5. Balance Sheet Components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Property and equipment, net consist of the following (in thousands):</w:t>
      </w:r>
    </w:p>
    <w:p>
      <w:pPr>
        <w:spacing w:after="0" w:line="178"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9"/>
        </w:trPr>
        <w:tc>
          <w:tcPr>
            <w:tcW w:w="45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29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r>
      <w:tr>
        <w:trPr>
          <w:trHeight w:val="16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Laboratory equipment</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6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80" w:type="dxa"/>
            <w:vAlign w:val="bottom"/>
          </w:tcPr>
          <w:p>
            <w:pPr>
              <w:spacing w:after="0"/>
              <w:rPr>
                <w:sz w:val="14"/>
                <w:szCs w:val="14"/>
                <w:color w:val="auto"/>
              </w:rPr>
            </w:pPr>
          </w:p>
        </w:tc>
      </w:tr>
      <w:tr>
        <w:trPr>
          <w:trHeight w:val="172"/>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Office equipment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Software</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4"/>
                <w:szCs w:val="14"/>
                <w:color w:val="auto"/>
              </w:rPr>
            </w:pPr>
          </w:p>
        </w:tc>
      </w:tr>
      <w:tr>
        <w:trPr>
          <w:trHeight w:val="163"/>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6,268</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6,245</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4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(5,540)</w:t>
            </w:r>
          </w:p>
        </w:tc>
      </w:tr>
      <w:tr>
        <w:trPr>
          <w:trHeight w:val="163"/>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Construction-in-progress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r>
      <w:tr>
        <w:trPr>
          <w:trHeight w:val="203"/>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14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-19685</wp:posOffset>
            </wp:positionV>
            <wp:extent cx="4064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-6350</wp:posOffset>
            </wp:positionV>
            <wp:extent cx="4064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309" w:lineRule="exact"/>
        <w:rPr>
          <w:sz w:val="20"/>
          <w:szCs w:val="20"/>
          <w:color w:val="auto"/>
        </w:rPr>
      </w:pPr>
    </w:p>
    <w:p>
      <w:pPr>
        <w:ind w:left="640" w:right="779" w:firstLine="701"/>
        <w:spacing w:after="0" w:line="292" w:lineRule="auto"/>
        <w:rPr>
          <w:sz w:val="20"/>
          <w:szCs w:val="20"/>
          <w:color w:val="auto"/>
        </w:rPr>
      </w:pPr>
      <w:r>
        <w:rPr>
          <w:rFonts w:ascii="Times New Roman" w:cs="Times New Roman" w:eastAsia="Times New Roman" w:hAnsi="Times New Roman"/>
          <w:sz w:val="14"/>
          <w:szCs w:val="14"/>
          <w:color w:val="auto"/>
        </w:rPr>
        <w:t>Depreciation and amortization expense totaled $0.2 million and $0.3 million for the three months ended March 31, 2026 and 2025, respectively.</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 and other current liabilities</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Accrued expenses and other current liabilities consist of the following (in thousands):</w:t>
      </w:r>
    </w:p>
    <w:p>
      <w:pPr>
        <w:spacing w:after="0" w:line="124"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9"/>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29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27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Payroll and related costs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2,646</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Accrued professional fees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rent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Accrued preclinical and clinical trial costs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-135890</wp:posOffset>
            </wp:positionV>
            <wp:extent cx="4064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-135890</wp:posOffset>
            </wp:positionV>
            <wp:extent cx="4064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6. Evaluation, Collaboration and License, and Collaborative Arrangements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Chugai Collaboration and License Agreement</w:t>
      </w:r>
    </w:p>
    <w:p>
      <w:pPr>
        <w:spacing w:after="0" w:line="187" w:lineRule="exact"/>
        <w:rPr>
          <w:sz w:val="20"/>
          <w:szCs w:val="20"/>
          <w:color w:val="auto"/>
        </w:rPr>
      </w:pPr>
    </w:p>
    <w:p>
      <w:pPr>
        <w:ind w:left="640" w:right="719" w:firstLine="709"/>
        <w:spacing w:after="0" w:line="260" w:lineRule="auto"/>
        <w:rPr>
          <w:sz w:val="20"/>
          <w:szCs w:val="20"/>
          <w:color w:val="auto"/>
        </w:rPr>
      </w:pPr>
      <w:r>
        <w:rPr>
          <w:rFonts w:ascii="Times New Roman" w:cs="Times New Roman" w:eastAsia="Times New Roman" w:hAnsi="Times New Roman"/>
          <w:sz w:val="14"/>
          <w:szCs w:val="14"/>
          <w:color w:val="auto"/>
        </w:rPr>
        <w:t>In October 2025, the Company entered into a Collaboration and License Agreement (the “Chugai Collaboration and License Agreement”) with Chugai Pharmaceutical Co., Ltd. (“Chugai”). Under the Chugai Collaboration and License Agreement, the Company and Chugai will collaborate to develop, manufacture, seek regulatory approvals for and, if approved, commercialize a product (the “Chugai Product” or “RT-117”) combining Chugai’s antibody (the “Compound”), which is in development for hemophilia, and the RaniPill HC oral delivery device (the “Device”) for use in humans. Under the Chugai Collaboration and License Agreement, the Company received a $10.0 million upfront payment and is eligible to receive up to $18.0 million in technology transfer milestones (of which $10.0 million is subject to the customer's option), up to $57.0 million in regulatory and development milestones, up to $100.0 million in a series of sales-based milestones, contingent upon approval and the commercial success of the Chugai Product, and single digit royalties on net sales upon approval and successful commercialization of the Chugai Product.</w:t>
      </w:r>
    </w:p>
    <w:p>
      <w:pPr>
        <w:spacing w:after="0" w:line="149" w:lineRule="exact"/>
        <w:rPr>
          <w:sz w:val="20"/>
          <w:szCs w:val="20"/>
          <w:color w:val="auto"/>
        </w:rPr>
      </w:pPr>
    </w:p>
    <w:p>
      <w:pPr>
        <w:ind w:left="640" w:right="699" w:firstLine="709"/>
        <w:spacing w:after="0" w:line="264" w:lineRule="auto"/>
        <w:rPr>
          <w:sz w:val="20"/>
          <w:szCs w:val="20"/>
          <w:color w:val="auto"/>
        </w:rPr>
      </w:pPr>
      <w:r>
        <w:rPr>
          <w:rFonts w:ascii="Times New Roman" w:cs="Times New Roman" w:eastAsia="Times New Roman" w:hAnsi="Times New Roman"/>
          <w:sz w:val="14"/>
          <w:szCs w:val="14"/>
          <w:color w:val="auto"/>
        </w:rPr>
        <w:t>Under the Chugai Collaboration and License Agreement, the Company granted Chugai an exclusive, worldwide right and license to certain intellectual property owned by the Company to research, develop, register, manufacture, use, sell, offer to sell, import, export, commercialize, and market the Chugai Product. Chugai granted the Company a non-exclusive, worldwide right and license to certain intellectual property owned by Chugai to manufacture and supply the Device and Chugai Product to Chugai and to perform activities under the Chugai Collaboration and License Agreement. Both parties have the right to sublicense subject to certain conditions.</w:t>
      </w:r>
    </w:p>
    <w:p>
      <w:pPr>
        <w:spacing w:after="0" w:line="317" w:lineRule="exact"/>
        <w:rPr>
          <w:sz w:val="20"/>
          <w:szCs w:val="20"/>
          <w:color w:val="auto"/>
        </w:rPr>
      </w:pPr>
    </w:p>
    <w:p>
      <w:pPr>
        <w:ind w:left="640" w:right="739" w:firstLine="709"/>
        <w:spacing w:after="0" w:line="292" w:lineRule="auto"/>
        <w:rPr>
          <w:sz w:val="20"/>
          <w:szCs w:val="20"/>
          <w:color w:val="auto"/>
        </w:rPr>
      </w:pPr>
      <w:r>
        <w:rPr>
          <w:rFonts w:ascii="Times New Roman" w:cs="Times New Roman" w:eastAsia="Times New Roman" w:hAnsi="Times New Roman"/>
          <w:sz w:val="14"/>
          <w:szCs w:val="14"/>
          <w:color w:val="auto"/>
        </w:rPr>
        <w:t>In addition, Chugai has a one-time limited option to replace the Compound with a different compound subject to certain terms and conditions, a time-limited right of first refusal with respect to a select group of additional targets, and a time-limited option</w:t>
      </w:r>
    </w:p>
    <w:p>
      <w:pPr>
        <w:spacing w:after="0" w:line="12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5" w:name="page16"/>
    <w:bookmarkEnd w:id="15"/>
    <w:p>
      <w:pPr>
        <w:ind w:left="640" w:right="839"/>
        <w:spacing w:after="0" w:line="292" w:lineRule="auto"/>
        <w:rPr>
          <w:sz w:val="20"/>
          <w:szCs w:val="20"/>
          <w:color w:val="auto"/>
        </w:rPr>
      </w:pPr>
      <w:r>
        <w:rPr>
          <w:rFonts w:ascii="Times New Roman" w:cs="Times New Roman" w:eastAsia="Times New Roman" w:hAnsi="Times New Roman"/>
          <w:sz w:val="14"/>
          <w:szCs w:val="14"/>
          <w:color w:val="auto"/>
        </w:rPr>
        <w:t>to extend its rights to up to five of the additional drug targets, each exercisable upon payment of a $5.0 million additional target fee, under similar deal terms as the Chugai Collaboration and License Agreement.</w:t>
      </w:r>
    </w:p>
    <w:p>
      <w:pPr>
        <w:spacing w:after="0" w:line="124" w:lineRule="exact"/>
        <w:rPr>
          <w:sz w:val="20"/>
          <w:szCs w:val="20"/>
          <w:color w:val="auto"/>
        </w:rPr>
      </w:pPr>
    </w:p>
    <w:p>
      <w:pPr>
        <w:ind w:left="640" w:right="759" w:firstLine="709"/>
        <w:spacing w:after="0" w:line="178" w:lineRule="exact"/>
        <w:rPr>
          <w:sz w:val="20"/>
          <w:szCs w:val="20"/>
          <w:color w:val="auto"/>
        </w:rPr>
      </w:pPr>
      <w:r>
        <w:rPr>
          <w:rFonts w:ascii="Times New Roman" w:cs="Times New Roman" w:eastAsia="Times New Roman" w:hAnsi="Times New Roman"/>
          <w:sz w:val="14"/>
          <w:szCs w:val="14"/>
          <w:color w:val="auto"/>
        </w:rPr>
        <w:t>The parties have the right to terminate the Chugai Collaboration and License Agreement at any time through mutual written consent. Chugai has the unilateral right to terminate the Chugai Collaboration and License Agreement at will, without cause, by providing the Company with 60 days’ prior written notice. Upon termination, Chugai must wind down development, regulatory, and commercial activities and continue paying royalties on any remaining net sales made during the wind-down period. Further, both the Company and Chugai retain their ownership of intellectual property, program inventions, and the license automatically becomes exclusive, irrevocable, perpetual, and fully paid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up in favor of Chugai, unless Chugai terminated the Agreement without cause.</w:t>
      </w:r>
    </w:p>
    <w:p>
      <w:pPr>
        <w:spacing w:after="0" w:line="136" w:lineRule="exact"/>
        <w:rPr>
          <w:sz w:val="20"/>
          <w:szCs w:val="20"/>
          <w:color w:val="auto"/>
        </w:rPr>
      </w:pPr>
    </w:p>
    <w:p>
      <w:pPr>
        <w:ind w:left="640" w:right="779" w:firstLine="701"/>
        <w:spacing w:after="0" w:line="265" w:lineRule="auto"/>
        <w:rPr>
          <w:sz w:val="20"/>
          <w:szCs w:val="20"/>
          <w:color w:val="auto"/>
        </w:rPr>
      </w:pPr>
      <w:r>
        <w:rPr>
          <w:rFonts w:ascii="Times New Roman" w:cs="Times New Roman" w:eastAsia="Times New Roman" w:hAnsi="Times New Roman"/>
          <w:sz w:val="14"/>
          <w:szCs w:val="14"/>
          <w:color w:val="auto"/>
        </w:rPr>
        <w:t xml:space="preserve">The Company determined that the Chugai Collaboration and License Agreement falls within the scope of Accounting Standards Codification ("ASC") Topic 808: </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xml:space="preserve"> ("ASC 808"), with certain elements accounted for under ASC Topic 606, </w:t>
      </w:r>
      <w:r>
        <w:rPr>
          <w:rFonts w:ascii="Times New Roman" w:cs="Times New Roman" w:eastAsia="Times New Roman" w:hAnsi="Times New Roman"/>
          <w:sz w:val="14"/>
          <w:szCs w:val="14"/>
          <w:i w:val="1"/>
          <w:iCs w:val="1"/>
          <w:color w:val="auto"/>
        </w:rPr>
        <w:t>Revenue from Contracts with Customer</w:t>
      </w:r>
      <w:r>
        <w:rPr>
          <w:rFonts w:ascii="Times New Roman" w:cs="Times New Roman" w:eastAsia="Times New Roman" w:hAnsi="Times New Roman"/>
          <w:sz w:val="14"/>
          <w:szCs w:val="14"/>
          <w:color w:val="auto"/>
        </w:rPr>
        <w:t xml:space="preserve"> ("ASC 606"). Specifically, the exclusive license granted to Chugai, technology transfer of a sterile manufacturing process, sales-based milestones, and royalties are accounted for under ASC 606, while the development related activities are accounted for as collaborative arrangements under ASC 808.</w:t>
      </w:r>
    </w:p>
    <w:p>
      <w:pPr>
        <w:spacing w:after="0" w:line="142" w:lineRule="exact"/>
        <w:rPr>
          <w:sz w:val="20"/>
          <w:szCs w:val="20"/>
          <w:color w:val="auto"/>
        </w:rPr>
      </w:pPr>
    </w:p>
    <w:p>
      <w:pPr>
        <w:ind w:left="640" w:right="719" w:firstLine="701"/>
        <w:spacing w:after="0" w:line="262" w:lineRule="auto"/>
        <w:rPr>
          <w:sz w:val="20"/>
          <w:szCs w:val="20"/>
          <w:color w:val="auto"/>
        </w:rPr>
      </w:pPr>
      <w:r>
        <w:rPr>
          <w:rFonts w:ascii="Times New Roman" w:cs="Times New Roman" w:eastAsia="Times New Roman" w:hAnsi="Times New Roman"/>
          <w:sz w:val="14"/>
          <w:szCs w:val="14"/>
          <w:color w:val="auto"/>
        </w:rPr>
        <w:t>Under ASC 606, the Company concluded there is one combined performance obligation, primarily consisting of the exclusive license, the information transfer of the Company's intellectual property, and the sterile manufacturing process research and know-how transfer. The combined performance obligation conveys a right to use the Company's functional intellectual property, which has significant standalone value as Chugai has exclusive rights to use the Compound within the RaniPill. The performance obligation is a stand ready obligation that is satisfied over time by providing Chugai with ongoing access to the Company's leadership throughout the period of delivery of regulatory feedback on the sterile manufacturing process, in order to answer regulatory questions when and if they are asked.</w:t>
      </w:r>
    </w:p>
    <w:p>
      <w:pPr>
        <w:spacing w:after="0" w:line="144"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The Company uses the time based (straight line) measure of progress to recognize revenue for the arrangement over time as the performance obligation is satisfied, which is the period from license issuance through the period over which sterile manufacturing process research activities and the corresponding know-how transfer occur. Accordingly, the Company expects to recognize the initial $10.0 million transaction price between the execution of the arrangement through the expected completion date of the sterile manufacturing process transfer.</w:t>
      </w:r>
    </w:p>
    <w:p>
      <w:pPr>
        <w:spacing w:after="0" w:line="142" w:lineRule="exact"/>
        <w:rPr>
          <w:sz w:val="20"/>
          <w:szCs w:val="20"/>
          <w:color w:val="auto"/>
        </w:rPr>
      </w:pPr>
    </w:p>
    <w:p>
      <w:pPr>
        <w:ind w:left="640" w:right="759" w:firstLine="701"/>
        <w:spacing w:after="0" w:line="274" w:lineRule="auto"/>
        <w:rPr>
          <w:sz w:val="20"/>
          <w:szCs w:val="20"/>
          <w:color w:val="auto"/>
        </w:rPr>
      </w:pPr>
      <w:r>
        <w:rPr>
          <w:rFonts w:ascii="Times New Roman" w:cs="Times New Roman" w:eastAsia="Times New Roman" w:hAnsi="Times New Roman"/>
          <w:sz w:val="14"/>
          <w:szCs w:val="14"/>
          <w:color w:val="auto"/>
        </w:rPr>
        <w:t>As of December 31, 2025, the transaction price primarily consisted of the $10.0 million upfront payment. Additional variable considerations including development milestones have been excluded from the initial transaction price because achievement is not considered probable and is fully constrained due to uncertainties outside the Company's control.</w:t>
      </w:r>
    </w:p>
    <w:p>
      <w:pPr>
        <w:spacing w:after="0" w:line="136" w:lineRule="exact"/>
        <w:rPr>
          <w:sz w:val="20"/>
          <w:szCs w:val="20"/>
          <w:color w:val="auto"/>
        </w:rPr>
      </w:pPr>
    </w:p>
    <w:p>
      <w:pPr>
        <w:ind w:left="640" w:right="679" w:firstLine="701"/>
        <w:spacing w:after="0" w:line="176" w:lineRule="exact"/>
        <w:rPr>
          <w:sz w:val="20"/>
          <w:szCs w:val="20"/>
          <w:color w:val="auto"/>
        </w:rPr>
      </w:pPr>
      <w:r>
        <w:rPr>
          <w:rFonts w:ascii="Times New Roman" w:cs="Times New Roman" w:eastAsia="Times New Roman" w:hAnsi="Times New Roman"/>
          <w:sz w:val="14"/>
          <w:szCs w:val="14"/>
          <w:color w:val="auto"/>
        </w:rPr>
        <w:t>Based on its assessment as of March 31, 2026, the Company concluded that there were no changes in facts or circumstances that would result in any milestone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variable consideration becoming probable of achievement. As such, no variable consideration was included in the transaction price as of March 31, 2026. The Company will reassess milestone-related variable consideration each reporting period and will update the transaction price once it becomes probable and the associated constraint is lifted. Any milestone consideration included in the transaction price will be recognized when the milestone is achieved or consistent with the pattern of recognition of the associated performance obligation, including through cumulative catch-up adjustments, as applicable.</w:t>
      </w:r>
    </w:p>
    <w:p>
      <w:pPr>
        <w:spacing w:after="0" w:line="320" w:lineRule="exact"/>
        <w:rPr>
          <w:sz w:val="20"/>
          <w:szCs w:val="20"/>
          <w:color w:val="auto"/>
        </w:rPr>
      </w:pPr>
    </w:p>
    <w:p>
      <w:pPr>
        <w:ind w:left="640" w:right="679" w:firstLine="701"/>
        <w:spacing w:after="0" w:line="263" w:lineRule="auto"/>
        <w:rPr>
          <w:sz w:val="20"/>
          <w:szCs w:val="20"/>
          <w:color w:val="auto"/>
        </w:rPr>
      </w:pPr>
      <w:r>
        <w:rPr>
          <w:rFonts w:ascii="Times New Roman" w:cs="Times New Roman" w:eastAsia="Times New Roman" w:hAnsi="Times New Roman"/>
          <w:sz w:val="14"/>
          <w:szCs w:val="14"/>
          <w:color w:val="auto"/>
        </w:rPr>
        <w:t>For the three months ended March 31, 2026, the Company recognized $1.7 million of revenue on the condensed consolidated statement of operations and $6.8 million as deferred revenue on the condensed consolidated balance sheet. Of the $10.0 million upfront payment, $8.0 million was received in cash and $2.0 million remains in accounts receivable relating to tax withheld by the Japanese tax authorities, which is expected to be refunded to the Company upon submission and acceptance of the required residency certificate. The Company expects to collect the full amount and does not view the withholding as impacting the collectability assessment under ASC 606.</w:t>
      </w:r>
    </w:p>
    <w:p>
      <w:pPr>
        <w:spacing w:after="0" w:line="14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Evaluation Arrangement</w:t>
      </w:r>
    </w:p>
    <w:p>
      <w:pPr>
        <w:spacing w:after="0" w:line="187" w:lineRule="exact"/>
        <w:rPr>
          <w:sz w:val="20"/>
          <w:szCs w:val="20"/>
          <w:color w:val="auto"/>
        </w:rPr>
      </w:pPr>
    </w:p>
    <w:p>
      <w:pPr>
        <w:ind w:left="640" w:right="679" w:firstLine="701"/>
        <w:spacing w:after="0" w:line="259" w:lineRule="auto"/>
        <w:rPr>
          <w:sz w:val="20"/>
          <w:szCs w:val="20"/>
          <w:color w:val="auto"/>
        </w:rPr>
      </w:pPr>
      <w:r>
        <w:rPr>
          <w:rFonts w:ascii="Times New Roman" w:cs="Times New Roman" w:eastAsia="Times New Roman" w:hAnsi="Times New Roman"/>
          <w:sz w:val="14"/>
          <w:szCs w:val="14"/>
          <w:color w:val="auto"/>
        </w:rPr>
        <w:t>In August 2024, the Company entered into a contract with Chugai to conduct evaluation services of certain Chugai compounds for oral delivery using the RaniPill HC, (the "Chugai Research Agreement"), which was concluded to be a single performance obligation with an enforceable right to payment. The Company received an up-front payment of $0.6 million upon execution of the contract. Upon completion of the evaluation services, in April 2025, the Company was paid a final $0.6 million for an aggregate total of $1.2 million due under the contract. In addition, if agreed upon, the agreement allows for joint filing of certain intellectual property protection in which all associated expenses will be shared equally. Chugai has the ability to terminate the agreement at any time by providing 10 days’ written notice after the effective date of the contract. The contract can be terminated for cause by either party based on uncured material breach by the other party. Upon early termination, all ongoing activities under the agreement and all mutual collaboration, development and commercialization licenses and sublicenses will terminate. For the periods ended March 31, 2026 and 2025, $0 and $0.2 million, respectively, in contract revenue was recognized for evaluation services performed. As of March 31, 2026, no contract asset or contract liability was outstanding under the Chugai Research Agreement, as all consideration received had been recognized as revenue in proportion to the services performed.</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ProGen Co., Ltd.</w:t>
      </w:r>
    </w:p>
    <w:p>
      <w:pPr>
        <w:spacing w:after="0" w:line="187" w:lineRule="exact"/>
        <w:rPr>
          <w:sz w:val="20"/>
          <w:szCs w:val="20"/>
          <w:color w:val="auto"/>
        </w:rPr>
      </w:pPr>
    </w:p>
    <w:p>
      <w:pPr>
        <w:ind w:left="640" w:right="699" w:firstLine="701"/>
        <w:spacing w:after="0" w:line="265" w:lineRule="auto"/>
        <w:rPr>
          <w:sz w:val="20"/>
          <w:szCs w:val="20"/>
          <w:color w:val="auto"/>
        </w:rPr>
      </w:pPr>
      <w:r>
        <w:rPr>
          <w:rFonts w:ascii="Times New Roman" w:cs="Times New Roman" w:eastAsia="Times New Roman" w:hAnsi="Times New Roman"/>
          <w:sz w:val="14"/>
          <w:szCs w:val="14"/>
          <w:color w:val="auto"/>
        </w:rPr>
        <w:t>In June 2024, the Company and ProGen Co., Ltd. (“ProGen”) entered into a Collaboration Agreement (the “Collaboration Agreement”). Under the Collaboration Agreement, the Company and ProGen will collaborate to manufacture, develop, seek regulatory approvals for and, if approved, commercialize a product (the “Product” or “RT-114”) combining ProGen’s GLP-1/GLP-2 dual agonist compound, PG-102, and the RaniPill HC oral delivery device in the field of weight management (including without limitation obesity, weight reduction and weight maintenance) in humans (the “Collaboration”).</w:t>
      </w:r>
    </w:p>
    <w:p>
      <w:pPr>
        <w:spacing w:after="0" w:line="142" w:lineRule="exact"/>
        <w:rPr>
          <w:sz w:val="20"/>
          <w:szCs w:val="20"/>
          <w:color w:val="auto"/>
        </w:rPr>
      </w:pPr>
    </w:p>
    <w:p>
      <w:pPr>
        <w:ind w:left="640" w:right="719" w:firstLine="701"/>
        <w:spacing w:after="0" w:line="261" w:lineRule="auto"/>
        <w:rPr>
          <w:sz w:val="20"/>
          <w:szCs w:val="20"/>
          <w:color w:val="auto"/>
        </w:rPr>
      </w:pPr>
      <w:r>
        <w:rPr>
          <w:rFonts w:ascii="Times New Roman" w:cs="Times New Roman" w:eastAsia="Times New Roman" w:hAnsi="Times New Roman"/>
          <w:sz w:val="14"/>
          <w:szCs w:val="14"/>
          <w:color w:val="auto"/>
        </w:rPr>
        <w:t>Under the Collaboration Agreement, development costs, as well as operating profits and losses from the commercialization of the Product, will be equally shared by the Company and ProGen. The Company and ProGen each granted to the other party an exclusive right and license (except with respect to the other party’s affiliates and sublicensees) to certain intellectual property to develop the Product for weight management and an exclusive right and license to seek regulatory approval for, and to use, sell, offer to sell, import and commercialize the Product in their assigned territories. The parties share responsibility for the development of RT-114 worldwide, with the Company leading such development for preclinical activities through Phase 1 clinical trials. After initiation of the first Phase 2 clinical trial, the Company will lead development and commercialization of the Product in the United States, Canada, Europe (including the United Kingdom) and Australia, and ProGen will lead development and commercialization in all other countries.</w:t>
      </w:r>
    </w:p>
    <w:p>
      <w:pPr>
        <w:spacing w:after="0" w:line="318" w:lineRule="exact"/>
        <w:rPr>
          <w:sz w:val="20"/>
          <w:szCs w:val="20"/>
          <w:color w:val="auto"/>
        </w:rPr>
      </w:pPr>
    </w:p>
    <w:p>
      <w:pPr>
        <w:ind w:left="640" w:right="679" w:firstLine="701"/>
        <w:spacing w:after="0" w:line="262" w:lineRule="auto"/>
        <w:rPr>
          <w:sz w:val="20"/>
          <w:szCs w:val="20"/>
          <w:color w:val="auto"/>
        </w:rPr>
      </w:pPr>
      <w:r>
        <w:rPr>
          <w:rFonts w:ascii="Times New Roman" w:cs="Times New Roman" w:eastAsia="Times New Roman" w:hAnsi="Times New Roman"/>
          <w:sz w:val="14"/>
          <w:szCs w:val="14"/>
          <w:color w:val="auto"/>
        </w:rPr>
        <w:t>Each party has the right to opt-out of the Collaboration (“Opt-Out”) at any time upon prior written notice to the other party. Following an Opt-Out, the continuing party shall have sole right to develop, conduct regulatory activities for and commercialize the Product on a worldwide basis. The Opt-Out party shall share all development costs and operating profit (or loss) through the effective date of the Opt-Out, and all costs to complete the conduct of any clinical trials of Product that have been initiated prior to delivery of the Opt-Out notice, even if the costs are incurred or the trials are completed after the effective date of the Opt-Out. The continuing party shall pay to the Opt-Out party low single to mid-single digit royalties on net sales of the Product made after the Opt-Out date depending on when the Opt-Out occurs.</w:t>
      </w:r>
    </w:p>
    <w:p>
      <w:pPr>
        <w:spacing w:after="0" w:line="144" w:lineRule="exact"/>
        <w:rPr>
          <w:sz w:val="20"/>
          <w:szCs w:val="20"/>
          <w:color w:val="auto"/>
        </w:rPr>
      </w:pPr>
    </w:p>
    <w:p>
      <w:pPr>
        <w:ind w:left="640" w:right="719" w:firstLine="701"/>
        <w:spacing w:after="0" w:line="265" w:lineRule="auto"/>
        <w:rPr>
          <w:sz w:val="20"/>
          <w:szCs w:val="20"/>
          <w:color w:val="auto"/>
        </w:rPr>
      </w:pPr>
      <w:r>
        <w:rPr>
          <w:rFonts w:ascii="Times New Roman" w:cs="Times New Roman" w:eastAsia="Times New Roman" w:hAnsi="Times New Roman"/>
          <w:sz w:val="14"/>
          <w:szCs w:val="14"/>
          <w:color w:val="auto"/>
        </w:rPr>
        <w:t>The Company determined that the Collaboration Agreement is not a contract with a customer and is therefore accounted for under ASC 808. The Company evaluates the presentation of amounts due from ProGen based on the nature of each separate activity. Reimbursements from ProGen are recognized as contra-research and development expense on the Consolidated Statement of Operations once earned and collectability is assured. As of March 31, 2026 and December 31, 2025, reimbursement due from ProGen recorded as contra-research and development expense was $0.4 million and $0.1 million, respectively.</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7. Related Party Transactions</w:t>
      </w:r>
    </w:p>
    <w:p>
      <w:pPr>
        <w:spacing w:after="0" w:line="185" w:lineRule="exact"/>
        <w:rPr>
          <w:sz w:val="20"/>
          <w:szCs w:val="20"/>
          <w:color w:val="auto"/>
        </w:rPr>
      </w:pPr>
    </w:p>
    <w:p>
      <w:pPr>
        <w:jc w:val="both"/>
        <w:ind w:left="640" w:right="699" w:firstLine="701"/>
        <w:spacing w:after="0" w:line="274" w:lineRule="auto"/>
        <w:rPr>
          <w:sz w:val="20"/>
          <w:szCs w:val="20"/>
          <w:color w:val="auto"/>
        </w:rPr>
      </w:pPr>
      <w:r>
        <w:rPr>
          <w:rFonts w:ascii="Times New Roman" w:cs="Times New Roman" w:eastAsia="Times New Roman" w:hAnsi="Times New Roman"/>
          <w:sz w:val="14"/>
          <w:szCs w:val="14"/>
          <w:color w:val="auto"/>
        </w:rPr>
        <w:t>The founder and Chairman of the Company is the father of the Company’s Chief Executive Officer and the brother of the Company’s Chief Scientific Officer. Thus, the Company's Chief Scientific Officer is also the uncle of the Company’s Chief Executive Officer.</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InCube Labs, LLC (“ICL”) is wholly-owned by the Company’s founder and Chairman and his family.</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1" w:right="1440"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Service Agreements</w:t>
      </w:r>
    </w:p>
    <w:p>
      <w:pPr>
        <w:spacing w:after="0" w:line="187"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In April 2022, Rani LLC entered into a service agreement for a facility in San Jose, California. In March 2024, the Company entered into an amendment to increase the size of the rental space from 23,000 square feet to 24,000 square feet (such agreement, as amended, the “RMS-ICL Service Agreement”). The RMS-ICL Service Agreement has a twelve-month term and will automatically renew for successive twelve-month periods unless terminated (Note 8).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ICL administrative fees and research and development expenses are billed or charged on a monthly basis by ICL or Rani LLC, respectively, as well as allocations of expenses based upon Rani LLC’s utilization of ICL’s facilities and equipment.</w:t>
      </w:r>
    </w:p>
    <w:p>
      <w:pPr>
        <w:spacing w:after="0" w:line="1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table below details the amounts charged by ICL for services and rent, net of the amount that the Company charged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ICL, which is included in the condensed consolidated statements of operations (in thousands):</w:t>
      </w:r>
    </w:p>
    <w:p>
      <w:pPr>
        <w:spacing w:after="0" w:line="164"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4000" w:type="dxa"/>
            <w:vAlign w:val="bottom"/>
          </w:tcPr>
          <w:p>
            <w:pPr>
              <w:spacing w:after="0"/>
              <w:rPr>
                <w:sz w:val="11"/>
                <w:szCs w:val="11"/>
                <w:color w:val="auto"/>
              </w:rPr>
            </w:pPr>
          </w:p>
        </w:tc>
        <w:tc>
          <w:tcPr>
            <w:tcW w:w="21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4000" w:type="dxa"/>
            <w:vAlign w:val="bottom"/>
          </w:tcPr>
          <w:p>
            <w:pPr>
              <w:spacing w:after="0"/>
              <w:rPr>
                <w:sz w:val="9"/>
                <w:szCs w:val="9"/>
                <w:color w:val="auto"/>
              </w:rPr>
            </w:pPr>
          </w:p>
        </w:tc>
        <w:tc>
          <w:tcPr>
            <w:tcW w:w="800" w:type="dxa"/>
            <w:vAlign w:val="bottom"/>
            <w:tcBorders>
              <w:bottom w:val="single" w:sz="8" w:color="auto"/>
            </w:tcBorders>
          </w:tcPr>
          <w:p>
            <w:pPr>
              <w:jc w:val="right"/>
              <w:ind w:right="6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auto"/>
            </w:tcBorders>
          </w:tcPr>
          <w:p>
            <w:pPr>
              <w:jc w:val="right"/>
              <w:ind w:right="5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6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800" w:type="dxa"/>
            <w:vAlign w:val="bottom"/>
            <w:shd w:val="clear" w:color="auto" w:fill="CFF0FC"/>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73"/>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shd w:val="clear" w:color="auto" w:fill="CFF0FC"/>
          </w:tcPr>
          <w:p>
            <w:pPr>
              <w:spacing w:after="0"/>
              <w:rPr>
                <w:sz w:val="14"/>
                <w:szCs w:val="14"/>
                <w:color w:val="auto"/>
              </w:rPr>
            </w:pPr>
          </w:p>
        </w:tc>
      </w:tr>
      <w:tr>
        <w:trPr>
          <w:trHeight w:val="17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w:t>
            </w:r>
          </w:p>
        </w:tc>
        <w:tc>
          <w:tcPr>
            <w:tcW w:w="82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r>
      <w:tr>
        <w:trPr>
          <w:trHeight w:val="203"/>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Borders>
              <w:top w:val="single" w:sz="8" w:color="auto"/>
              <w:bottom w:val="single" w:sz="8" w:color="auto"/>
            </w:tcBorders>
            <w:shd w:val="clear" w:color="auto" w:fill="CFF0FC"/>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ind w:right="673"/>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4046855</wp:posOffset>
            </wp:positionH>
            <wp:positionV relativeFrom="paragraph">
              <wp:posOffset>-19685</wp:posOffset>
            </wp:positionV>
            <wp:extent cx="4064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-6350</wp:posOffset>
            </wp:positionV>
            <wp:extent cx="406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839" w:firstLine="701"/>
        <w:spacing w:after="0" w:line="292" w:lineRule="auto"/>
        <w:rPr>
          <w:sz w:val="20"/>
          <w:szCs w:val="20"/>
          <w:color w:val="auto"/>
        </w:rPr>
      </w:pPr>
      <w:r>
        <w:rPr>
          <w:rFonts w:ascii="Times New Roman" w:cs="Times New Roman" w:eastAsia="Times New Roman" w:hAnsi="Times New Roman"/>
          <w:sz w:val="14"/>
          <w:szCs w:val="14"/>
          <w:color w:val="auto"/>
        </w:rPr>
        <w:t>As of March 31, 2026, one of the Company's facilities was owned by an entity affiliated with the Company’s Chairman (Note 8). The Company pays for the use of this facility through the RMS-ICL Service Agreement.</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Exclusive License Agreement</w:t>
      </w:r>
    </w:p>
    <w:p>
      <w:pPr>
        <w:spacing w:after="0" w:line="187" w:lineRule="exact"/>
        <w:rPr>
          <w:sz w:val="20"/>
          <w:szCs w:val="20"/>
          <w:color w:val="auto"/>
        </w:rPr>
      </w:pPr>
    </w:p>
    <w:p>
      <w:pPr>
        <w:ind w:left="640" w:right="679" w:firstLine="701"/>
        <w:spacing w:after="0" w:line="259" w:lineRule="auto"/>
        <w:rPr>
          <w:sz w:val="20"/>
          <w:szCs w:val="20"/>
          <w:color w:val="auto"/>
        </w:rPr>
      </w:pPr>
      <w:r>
        <w:rPr>
          <w:rFonts w:ascii="Times New Roman" w:cs="Times New Roman" w:eastAsia="Times New Roman" w:hAnsi="Times New Roman"/>
          <w:sz w:val="14"/>
          <w:szCs w:val="14"/>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47" w:lineRule="exact"/>
        <w:rPr>
          <w:sz w:val="20"/>
          <w:szCs w:val="20"/>
          <w:color w:val="auto"/>
        </w:rPr>
      </w:pPr>
    </w:p>
    <w:p>
      <w:pPr>
        <w:ind w:left="640" w:right="739" w:firstLine="701"/>
        <w:spacing w:after="0" w:line="274" w:lineRule="auto"/>
        <w:rPr>
          <w:sz w:val="20"/>
          <w:szCs w:val="20"/>
          <w:color w:val="auto"/>
        </w:rPr>
      </w:pPr>
      <w:r>
        <w:rPr>
          <w:rFonts w:ascii="Times New Roman" w:cs="Times New Roman" w:eastAsia="Times New Roman" w:hAnsi="Times New Roman"/>
          <w:sz w:val="14"/>
          <w:szCs w:val="14"/>
          <w:color w:val="auto"/>
        </w:rPr>
        <w:t>In November 2025, as part of a strategic focusing of the Company's resources, the Company notified ICL that it is terminating the Amended and Restated Exclusive License Agreement in its entirety. The termination became effective on January 18, 2026, and the Company no longer has any obligations to ICL under the Amended and Restated Exclusive License Agreement.</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Non-Exclusive License Agreement between Rani and ICL (“Non-Exclusive License Agreement”)</w:t>
      </w:r>
    </w:p>
    <w:p>
      <w:pPr>
        <w:spacing w:after="0" w:line="187" w:lineRule="exact"/>
        <w:rPr>
          <w:sz w:val="20"/>
          <w:szCs w:val="20"/>
          <w:color w:val="auto"/>
        </w:rPr>
      </w:pPr>
    </w:p>
    <w:p>
      <w:pPr>
        <w:ind w:left="640" w:right="659" w:firstLine="701"/>
        <w:spacing w:after="0" w:line="262" w:lineRule="auto"/>
        <w:rPr>
          <w:sz w:val="20"/>
          <w:szCs w:val="20"/>
          <w:color w:val="auto"/>
        </w:rPr>
      </w:pPr>
      <w:r>
        <w:rPr>
          <w:rFonts w:ascii="Times New Roman" w:cs="Times New Roman" w:eastAsia="Times New Roman" w:hAnsi="Times New Roman"/>
          <w:sz w:val="14"/>
          <w:szCs w:val="14"/>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4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1" w:right="1440" w:bottom="1440" w:gutter="0" w:footer="0" w:header="0"/>
        </w:sectPr>
      </w:pPr>
    </w:p>
    <w:bookmarkStart w:id="18" w:name="page19"/>
    <w:bookmarkEnd w:id="18"/>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Rani LLC Agreement</w:t>
      </w:r>
    </w:p>
    <w:p>
      <w:pPr>
        <w:spacing w:after="0" w:line="187"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The Company operates its business through Rani LLC. In connection with the IPO, the Company and the Continuing LLC Owners, including ICL and its affiliates, entered an LLC agreement (the “Rani LLC Agreement”). As part of the Private Placement, the Rani LLC Agreement was amended effective as of December 31, 2025 (the “Amended Rani LLC Agreement”). The governance of Rani LLC, and the rights and obligations of the holders of LLC Interests, are set forth in the Amended Rani LLC Agreement. As Continuing LLC Owners, ICL and its affiliates are entitled to exchange, subject to the terms of the Amended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146" w:lineRule="exact"/>
        <w:rPr>
          <w:sz w:val="20"/>
          <w:szCs w:val="20"/>
          <w:color w:val="auto"/>
        </w:rPr>
      </w:pPr>
    </w:p>
    <w:p>
      <w:pPr>
        <w:ind w:left="640" w:right="759" w:firstLine="701"/>
        <w:spacing w:after="0" w:line="292" w:lineRule="auto"/>
        <w:rPr>
          <w:sz w:val="20"/>
          <w:szCs w:val="20"/>
          <w:color w:val="auto"/>
        </w:rPr>
      </w:pPr>
      <w:r>
        <w:rPr>
          <w:rFonts w:ascii="Times New Roman" w:cs="Times New Roman" w:eastAsia="Times New Roman" w:hAnsi="Times New Roman"/>
          <w:sz w:val="14"/>
          <w:szCs w:val="14"/>
          <w:color w:val="auto"/>
        </w:rPr>
        <w:t>During each of the three months ended March 31, 2026 and 2025, no related parties that are parties to the Amended Rani LLC Agreement exchanged any Paired Interests, for an equal number of shares of the Company's Class A common stock.</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8. Leases</w:t>
      </w:r>
    </w:p>
    <w:p>
      <w:pPr>
        <w:spacing w:after="0" w:line="185"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In November 2023, Rani LLC and BKM South Bay 240, LLC (“Landlord”) entered into the Standard Industrial/Commercial Multi-Tenant Lease - Net (the “Lease”). Pursuant to the terms of the Lease, Rani LLC is leasing approximately 33,000 square feet of space in Fremont, California, which is part of a two-building project (the “Project”). The initial term of the Lease commenced in February 2024, and the duration of the initial term is 63 months. Subject to certain conditions, Rani LLC has an option to renew the Lease for one additional 5-year term at the then-prevailing market rate. The monthly base rent for the initial term of the Lease is approximately $95,000 per month, subject to a 4% increase each year. Rani LLC is also responsible for the payment of additional rent to cover its share of common area operating expenses, including taxes, insurance, utilities, and repair and maintenance of the premises and common areas of the Project.</w:t>
      </w:r>
    </w:p>
    <w:p>
      <w:pPr>
        <w:spacing w:after="0" w:line="146" w:lineRule="exact"/>
        <w:rPr>
          <w:sz w:val="20"/>
          <w:szCs w:val="20"/>
          <w:color w:val="auto"/>
        </w:rPr>
      </w:pPr>
    </w:p>
    <w:p>
      <w:pPr>
        <w:ind w:left="640" w:right="779" w:firstLine="701"/>
        <w:spacing w:after="0" w:line="261" w:lineRule="auto"/>
        <w:rPr>
          <w:sz w:val="20"/>
          <w:szCs w:val="20"/>
          <w:color w:val="auto"/>
        </w:rPr>
      </w:pPr>
      <w:r>
        <w:rPr>
          <w:rFonts w:ascii="Times New Roman" w:cs="Times New Roman" w:eastAsia="Times New Roman" w:hAnsi="Times New Roman"/>
          <w:sz w:val="14"/>
          <w:szCs w:val="14"/>
          <w:color w:val="auto"/>
        </w:rPr>
        <w:t>In addition, the Company pays for the use of its office, laboratory and manufacturing facility in San Jose, California as part of the RMS-ICL Service Agreement. In March 2024, the Company entered into an amendment to increase the size of the rental space from 23,000 square feet to 24,000 square feet. The RMS-ICL Service Agreement has a twelve-month term and will automatically renew for successive twelve-month periods unless Rani LLC or ICL terminate occupancy under the RMS-ICL Service Agreement upon six months’ notice. In October 2025, the Company determined it to be reasonably certain that it would exercise its renewal option for a successive twelve-month period through 2026. The Company accounted for the renewal option as a lease modification that did not result in a separate contract and recognized the additional right-of-use asset and corresponding lease liabilities associated with the Rani LLC-ICL Service Agreement in its condensed consolidated balance sheet.</w:t>
      </w:r>
    </w:p>
    <w:p>
      <w:pPr>
        <w:spacing w:after="0" w:line="146" w:lineRule="exact"/>
        <w:rPr>
          <w:sz w:val="20"/>
          <w:szCs w:val="20"/>
          <w:color w:val="auto"/>
        </w:rPr>
      </w:pPr>
    </w:p>
    <w:p>
      <w:pPr>
        <w:ind w:left="640" w:right="879" w:firstLine="701"/>
        <w:spacing w:after="0" w:line="265" w:lineRule="auto"/>
        <w:rPr>
          <w:sz w:val="20"/>
          <w:szCs w:val="20"/>
          <w:color w:val="auto"/>
        </w:rPr>
      </w:pPr>
      <w:r>
        <w:rPr>
          <w:rFonts w:ascii="Times New Roman" w:cs="Times New Roman" w:eastAsia="Times New Roman" w:hAnsi="Times New Roman"/>
          <w:sz w:val="14"/>
          <w:szCs w:val="14"/>
          <w:color w:val="auto"/>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Variable lease payments are excluded from the total operating lease expense and immaterial for the periods presented.</w:t>
      </w:r>
    </w:p>
    <w:p>
      <w:pPr>
        <w:spacing w:after="0" w:line="142" w:lineRule="exact"/>
        <w:rPr>
          <w:sz w:val="20"/>
          <w:szCs w:val="20"/>
          <w:color w:val="auto"/>
        </w:rPr>
      </w:pPr>
    </w:p>
    <w:p>
      <w:pPr>
        <w:ind w:left="640" w:right="699" w:firstLine="701"/>
        <w:spacing w:after="0" w:line="274" w:lineRule="auto"/>
        <w:rPr>
          <w:sz w:val="20"/>
          <w:szCs w:val="20"/>
          <w:color w:val="auto"/>
        </w:rPr>
      </w:pPr>
      <w:r>
        <w:rPr>
          <w:rFonts w:ascii="Times New Roman" w:cs="Times New Roman" w:eastAsia="Times New Roman" w:hAnsi="Times New Roman"/>
          <w:sz w:val="14"/>
          <w:szCs w:val="14"/>
          <w:color w:val="auto"/>
        </w:rPr>
        <w:t>Supplemental information on the Company’s condensed consolidated balance sheet and statements of cash flows as of March 31, 2026 and 2025 and for the three months ended March 31, 2026 and 2025, respectively, related to the Company's leases was as follows (in thousands):</w:t>
      </w:r>
    </w:p>
    <w:p>
      <w:pPr>
        <w:spacing w:after="0" w:line="131"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4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4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9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6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6"/>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10.4%</w:t>
            </w:r>
          </w:p>
        </w:tc>
      </w:tr>
      <w:tr>
        <w:trPr>
          <w:trHeight w:val="276"/>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8"/>
          </w:tcPr>
          <w:p>
            <w:pPr>
              <w:ind w:left="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9"/>
        </w:trPr>
        <w:tc>
          <w:tcPr>
            <w:tcW w:w="4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177"/>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21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top w:val="single" w:sz="8" w:color="auto"/>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6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amounts included in lease liabilities: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 cash flows used for operating leases</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shd w:val="clear" w:color="auto" w:fill="CFF0FC"/>
          </w:tcPr>
          <w:p>
            <w:pPr>
              <w:spacing w:after="0"/>
              <w:rPr>
                <w:sz w:val="14"/>
                <w:szCs w:val="14"/>
                <w:color w:val="auto"/>
              </w:rPr>
            </w:pPr>
          </w:p>
        </w:tc>
      </w:tr>
    </w:tbl>
    <w:p>
      <w:pPr>
        <w:spacing w:after="0" w:line="32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1" w:right="1440" w:bottom="1440" w:gutter="0" w:footer="0" w:header="0"/>
        </w:sectPr>
      </w:pPr>
    </w:p>
    <w:bookmarkStart w:id="19" w:name="page20"/>
    <w:bookmarkEnd w:id="19"/>
    <w:p>
      <w:pPr>
        <w:ind w:left="640" w:right="739" w:firstLine="701"/>
        <w:spacing w:after="0" w:line="292" w:lineRule="auto"/>
        <w:rPr>
          <w:sz w:val="20"/>
          <w:szCs w:val="20"/>
          <w:color w:val="auto"/>
        </w:rPr>
      </w:pPr>
      <w:r>
        <w:rPr>
          <w:rFonts w:ascii="Times New Roman" w:cs="Times New Roman" w:eastAsia="Times New Roman" w:hAnsi="Times New Roman"/>
          <w:sz w:val="14"/>
          <w:szCs w:val="14"/>
          <w:color w:val="auto"/>
        </w:rPr>
        <w:t>As of March 31, 2026, minimum annual rental payments under the Company’s operating lease agreements are as follows (in thousands), excluding short-term leases:</w:t>
      </w:r>
    </w:p>
    <w:p>
      <w:pPr>
        <w:spacing w:after="0" w:line="138"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53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4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2026 (remaining nine months)</w:t>
            </w:r>
          </w:p>
        </w:tc>
        <w:tc>
          <w:tcPr>
            <w:tcW w:w="420" w:type="dxa"/>
            <w:vAlign w:val="bottom"/>
          </w:tcPr>
          <w:p>
            <w:pPr>
              <w:jc w:val="right"/>
              <w:ind w:right="35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80" w:type="dxa"/>
            <w:vAlign w:val="bottom"/>
          </w:tcPr>
          <w:p>
            <w:pPr>
              <w:spacing w:after="0"/>
              <w:rPr>
                <w:sz w:val="14"/>
                <w:szCs w:val="14"/>
                <w:color w:val="auto"/>
              </w:rPr>
            </w:pPr>
          </w:p>
        </w:tc>
      </w:tr>
      <w:tr>
        <w:trPr>
          <w:trHeight w:val="172"/>
        </w:trPr>
        <w:tc>
          <w:tcPr>
            <w:tcW w:w="53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4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shd w:val="clear" w:color="auto" w:fill="CFF0FC"/>
          </w:tcPr>
          <w:p>
            <w:pPr>
              <w:spacing w:after="0"/>
              <w:rPr>
                <w:sz w:val="14"/>
                <w:szCs w:val="14"/>
                <w:color w:val="auto"/>
              </w:rPr>
            </w:pPr>
          </w:p>
        </w:tc>
      </w:tr>
      <w:tr>
        <w:trPr>
          <w:trHeight w:val="172"/>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tcPr>
          <w:p>
            <w:pPr>
              <w:spacing w:after="0"/>
              <w:rPr>
                <w:sz w:val="14"/>
                <w:szCs w:val="14"/>
                <w:color w:val="auto"/>
              </w:rPr>
            </w:pPr>
          </w:p>
        </w:tc>
      </w:tr>
      <w:tr>
        <w:trPr>
          <w:trHeight w:val="172"/>
        </w:trPr>
        <w:tc>
          <w:tcPr>
            <w:tcW w:w="53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2029</w:t>
            </w:r>
          </w:p>
        </w:tc>
        <w:tc>
          <w:tcPr>
            <w:tcW w:w="4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shd w:val="clear" w:color="auto" w:fill="CFF0FC"/>
          </w:tcPr>
          <w:p>
            <w:pPr>
              <w:spacing w:after="0"/>
              <w:rPr>
                <w:sz w:val="14"/>
                <w:szCs w:val="14"/>
                <w:color w:val="auto"/>
              </w:rPr>
            </w:pPr>
          </w:p>
        </w:tc>
      </w:tr>
      <w:tr>
        <w:trPr>
          <w:trHeight w:val="163"/>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undiscounted future minimum lease payments</w:t>
            </w:r>
          </w:p>
        </w:tc>
        <w:tc>
          <w:tcPr>
            <w:tcW w:w="420" w:type="dxa"/>
            <w:vAlign w:val="bottom"/>
          </w:tcPr>
          <w:p>
            <w:pPr>
              <w:jc w:val="right"/>
              <w:ind w:right="35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4,531</w:t>
            </w:r>
          </w:p>
        </w:tc>
        <w:tc>
          <w:tcPr>
            <w:tcW w:w="80" w:type="dxa"/>
            <w:vAlign w:val="bottom"/>
          </w:tcPr>
          <w:p>
            <w:pPr>
              <w:spacing w:after="0"/>
              <w:rPr>
                <w:sz w:val="14"/>
                <w:szCs w:val="14"/>
                <w:color w:val="auto"/>
              </w:rPr>
            </w:pPr>
          </w:p>
        </w:tc>
      </w:tr>
      <w:tr>
        <w:trPr>
          <w:trHeight w:val="172"/>
        </w:trPr>
        <w:tc>
          <w:tcPr>
            <w:tcW w:w="53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4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(590)</w:t>
            </w:r>
          </w:p>
        </w:tc>
      </w:tr>
      <w:tr>
        <w:trPr>
          <w:trHeight w:val="20"/>
        </w:trPr>
        <w:tc>
          <w:tcPr>
            <w:tcW w:w="5380" w:type="dxa"/>
            <w:vAlign w:val="bottom"/>
            <w:tcBorders>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63"/>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lease liability</w:t>
            </w:r>
          </w:p>
        </w:tc>
        <w:tc>
          <w:tcPr>
            <w:tcW w:w="420" w:type="dxa"/>
            <w:vAlign w:val="bottom"/>
          </w:tcPr>
          <w:p>
            <w:pPr>
              <w:jc w:val="right"/>
              <w:ind w:right="35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3,941</w:t>
            </w:r>
          </w:p>
        </w:tc>
        <w:tc>
          <w:tcPr>
            <w:tcW w:w="80" w:type="dxa"/>
            <w:vAlign w:val="bottom"/>
          </w:tcPr>
          <w:p>
            <w:pPr>
              <w:spacing w:after="0"/>
              <w:rPr>
                <w:sz w:val="14"/>
                <w:szCs w:val="14"/>
                <w:color w:val="auto"/>
              </w:rPr>
            </w:pPr>
          </w:p>
        </w:tc>
      </w:tr>
      <w:tr>
        <w:trPr>
          <w:trHeight w:val="20"/>
        </w:trPr>
        <w:tc>
          <w:tcPr>
            <w:tcW w:w="5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4"/>
        </w:trPr>
        <w:tc>
          <w:tcPr>
            <w:tcW w:w="5380" w:type="dxa"/>
            <w:vAlign w:val="bottom"/>
            <w:tcBorders>
              <w:bottom w:val="single" w:sz="8" w:color="CFF0FC"/>
              <w:right w:val="single" w:sz="8" w:color="CFF0FC"/>
            </w:tcBorders>
            <w:shd w:val="clear" w:color="auto" w:fill="CFF0FC"/>
          </w:tcPr>
          <w:p>
            <w:pPr>
              <w:ind w:left="140"/>
              <w:spacing w:after="0" w:line="144" w:lineRule="exact"/>
              <w:rPr>
                <w:sz w:val="20"/>
                <w:szCs w:val="20"/>
                <w:color w:val="auto"/>
              </w:rPr>
            </w:pPr>
            <w:r>
              <w:rPr>
                <w:rFonts w:ascii="Times New Roman" w:cs="Times New Roman" w:eastAsia="Times New Roman" w:hAnsi="Times New Roman"/>
                <w:sz w:val="14"/>
                <w:szCs w:val="14"/>
                <w:color w:val="auto"/>
              </w:rPr>
              <w:t>Less: Current portion of operating lease liability</w:t>
            </w:r>
          </w:p>
        </w:tc>
        <w:tc>
          <w:tcPr>
            <w:tcW w:w="4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1,460</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63"/>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liability, less current portion</w:t>
            </w:r>
          </w:p>
        </w:tc>
        <w:tc>
          <w:tcPr>
            <w:tcW w:w="4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80" w:type="dxa"/>
            <w:vAlign w:val="bottom"/>
          </w:tcPr>
          <w:p>
            <w:pPr>
              <w:spacing w:after="0"/>
              <w:rPr>
                <w:sz w:val="14"/>
                <w:szCs w:val="14"/>
                <w:color w:val="auto"/>
              </w:rPr>
            </w:pPr>
          </w:p>
        </w:tc>
      </w:tr>
      <w:tr>
        <w:trPr>
          <w:trHeight w:val="20"/>
        </w:trPr>
        <w:tc>
          <w:tcPr>
            <w:tcW w:w="5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-381000</wp:posOffset>
            </wp:positionV>
            <wp:extent cx="4064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-135890</wp:posOffset>
            </wp:positionV>
            <wp:extent cx="4064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Warrants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w:t>
      </w:r>
    </w:p>
    <w:p>
      <w:pPr>
        <w:spacing w:after="0" w:line="187" w:lineRule="exact"/>
        <w:rPr>
          <w:sz w:val="20"/>
          <w:szCs w:val="20"/>
          <w:color w:val="auto"/>
        </w:rPr>
      </w:pPr>
    </w:p>
    <w:p>
      <w:pPr>
        <w:ind w:left="640" w:right="679" w:firstLine="712"/>
        <w:spacing w:after="0" w:line="258" w:lineRule="auto"/>
        <w:rPr>
          <w:sz w:val="20"/>
          <w:szCs w:val="20"/>
          <w:color w:val="auto"/>
        </w:rPr>
      </w:pPr>
      <w:r>
        <w:rPr>
          <w:rFonts w:ascii="Times New Roman" w:cs="Times New Roman" w:eastAsia="Times New Roman" w:hAnsi="Times New Roman"/>
          <w:sz w:val="14"/>
          <w:szCs w:val="14"/>
          <w:color w:val="auto"/>
        </w:rPr>
        <w:t>In October 2025, the Company entered into a securities purchase agreement (the "Private Placement") with (i) certain institutional and accredited investors (the “Institutional Investors”) and (ii) Mir Imran, chairman of the Company’s Board of Directors (the “Affiliated Investor” and, together with the Institutional Investors, each, a “Purchaser” and, together, the “Purchasers”), pursuant to which the Company issued and sold (i) 42,633,337 shares (the “Shares”) of its Class A common stock, par value $0.0001 per share (the “Class A Common Stock”), (ii) warrants to purchase up to an aggregate of 125,000,004 shares of Class A Common Stock or pre-funded warrants (the “Common Warrants”) and (iii) pre-funded warrants to purchase up to an aggregate of 82,366,667 shares of Class A Common Stock (the “Pre-Funded Warrants”). The Common Warrants and Pre-Funded Warrants are classified as equity on the Company’s condensed consolidated balance sheet. The warrants include certain rights upon “fundamental transactions,” as described in the warrant agreement,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warrants on the date of the consummation of the fundamental transactions. The purchase price of the Shares to the Institutional Investors is $0.48 per share, and the purchase price of the Shares to the Affiliated Investor is $0.605 per share. The purchase price of the Pre-Funded Warrants to the Purchasers is $0.4799 per Pre-Funded Warrant. The aggregate gross proceeds to the Company from the closing of the Private Placement were approximately $60.3 million (including conversion of $6.0 million of the previously outstanding loan's principal balance), before deducting placement agent fees and other expenses payable by the Company of approximately $4.5 million, and excluding the proceeds, if any, from the exercise of the Common Warrants.</w:t>
      </w:r>
    </w:p>
    <w:p>
      <w:pPr>
        <w:spacing w:after="0" w:line="151" w:lineRule="exact"/>
        <w:rPr>
          <w:sz w:val="20"/>
          <w:szCs w:val="20"/>
          <w:color w:val="auto"/>
        </w:rPr>
      </w:pPr>
    </w:p>
    <w:p>
      <w:pPr>
        <w:ind w:left="640" w:right="759" w:firstLine="712"/>
        <w:spacing w:after="0" w:line="265" w:lineRule="auto"/>
        <w:rPr>
          <w:sz w:val="20"/>
          <w:szCs w:val="20"/>
          <w:color w:val="auto"/>
        </w:rPr>
      </w:pPr>
      <w:r>
        <w:rPr>
          <w:rFonts w:ascii="Times New Roman" w:cs="Times New Roman" w:eastAsia="Times New Roman" w:hAnsi="Times New Roman"/>
          <w:sz w:val="14"/>
          <w:szCs w:val="14"/>
          <w:color w:val="auto"/>
        </w:rPr>
        <w:t>The Common Warrants became exercisable following the effective date of stockholder approval in December 2025 and have a term of five years following the initial exercise date. The Common Warrants purchased by the Purchasers have an exercise price of $0.48 per share. The Pre-Funded Warrants are exercisable immediately following the closing, have an unlimited term and an exercise price of $0.0001 per share. In January 2026, a Purchaser exercised 2,099,844 shares of Pre-Funded Warrants on a cashless basis, resulting in 80,266,823 shares of Pre-Funded Warrants outstanding as of March 31, 2026.</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Service Warrants</w:t>
      </w:r>
    </w:p>
    <w:p>
      <w:pPr>
        <w:spacing w:after="0" w:line="187" w:lineRule="exact"/>
        <w:rPr>
          <w:sz w:val="20"/>
          <w:szCs w:val="20"/>
          <w:color w:val="auto"/>
        </w:rPr>
      </w:pPr>
    </w:p>
    <w:p>
      <w:pPr>
        <w:ind w:left="640" w:right="679" w:firstLine="701"/>
        <w:spacing w:after="0" w:line="260" w:lineRule="auto"/>
        <w:rPr>
          <w:sz w:val="20"/>
          <w:szCs w:val="20"/>
          <w:color w:val="auto"/>
        </w:rPr>
      </w:pPr>
      <w:r>
        <w:rPr>
          <w:rFonts w:ascii="Times New Roman" w:cs="Times New Roman" w:eastAsia="Times New Roman" w:hAnsi="Times New Roman"/>
          <w:sz w:val="14"/>
          <w:szCs w:val="14"/>
          <w:color w:val="auto"/>
        </w:rPr>
        <w:t>In May 2025, in conjunction with a service agreement, the Company issued warrants to purchase 300,000 shares of the Company's Class A common stock, $0.0001 par value per share ("Service Warrants") to a third party vendor. The value of the Service Warrants was expensed immediately as a general and administrative cost. The Service Warrants are exercisable for a period of five years from the issuance date, at an exercise price per share equal to $0.70. The Service Warrants are classified as equity on the Company's condensed consolidated balance sheet. The Service Warrants include certain rights upon “fundamental transactions,” as described in the warrant agreement,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warrants on the date of the consummation of the fundamental transactions. In February 2026, the service agreement was terminated, however the issued Service Warrants remain outstanding with terms unchanged. As of March 31, 2026, all of the Service Warrants were outstanding.</w:t>
      </w:r>
    </w:p>
    <w:p>
      <w:pPr>
        <w:spacing w:after="0" w:line="31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Letter Agreement</w:t>
      </w:r>
    </w:p>
    <w:p>
      <w:pPr>
        <w:spacing w:after="0" w:line="187" w:lineRule="exact"/>
        <w:rPr>
          <w:sz w:val="20"/>
          <w:szCs w:val="20"/>
          <w:color w:val="auto"/>
        </w:rPr>
      </w:pPr>
    </w:p>
    <w:p>
      <w:pPr>
        <w:ind w:left="640" w:right="679" w:firstLine="701"/>
        <w:spacing w:after="0" w:line="261" w:lineRule="auto"/>
        <w:rPr>
          <w:sz w:val="20"/>
          <w:szCs w:val="20"/>
          <w:color w:val="auto"/>
        </w:rPr>
      </w:pPr>
      <w:r>
        <w:rPr>
          <w:rFonts w:ascii="Times New Roman" w:cs="Times New Roman" w:eastAsia="Times New Roman" w:hAnsi="Times New Roman"/>
          <w:sz w:val="14"/>
          <w:szCs w:val="14"/>
          <w:color w:val="auto"/>
        </w:rPr>
        <w:t>In May 2025, the Company entered into a letter agreement (the “Letter Agreement”) with an existing institutional investor (the “Equity Investor”) pursuant to which the Equity Investor exercised for cash all outstanding Series B and Series C warrants, which had been previously issued in July 2024 and October 2024, respectively, at a reduced exercise price of $0.65 per share, for net proceeds of $3.9 million in consideration for the Company’s issuance of a new Series D common stock warrant (the “Series D Warrants”) to purchase an aggregate of 13,160,172 shares of Class A common stock, $0.0001 par value per share (the “Class A Common Stock”). Modification accounting was only performed on the warrants that were actually exercised pursuant to the Letter Agreement as it represented a short-term inducement. On the modification date, the Company remeasured the warrants at the reduced exercise price and recognized a $1.3 million inducement charge in the condensed consolidated statements of changes in stockholders' equity.</w:t>
      </w:r>
    </w:p>
    <w:p>
      <w:pPr>
        <w:spacing w:after="0" w:line="318" w:lineRule="exact"/>
        <w:rPr>
          <w:sz w:val="20"/>
          <w:szCs w:val="20"/>
          <w:color w:val="auto"/>
        </w:rPr>
      </w:pPr>
    </w:p>
    <w:p>
      <w:pPr>
        <w:ind w:left="640" w:right="699" w:firstLine="712"/>
        <w:spacing w:after="0" w:line="260" w:lineRule="auto"/>
        <w:rPr>
          <w:sz w:val="20"/>
          <w:szCs w:val="20"/>
          <w:color w:val="auto"/>
        </w:rPr>
      </w:pPr>
      <w:r>
        <w:rPr>
          <w:rFonts w:ascii="Times New Roman" w:cs="Times New Roman" w:eastAsia="Times New Roman" w:hAnsi="Times New Roman"/>
          <w:sz w:val="14"/>
          <w:szCs w:val="14"/>
          <w:color w:val="auto"/>
        </w:rPr>
        <w:t>The Series D Warrants were exercisable immediately following stockholder approval, and will expire five years from the date of stockholder approval and have an exercise price of $0.65 per share. The Series D Warrants include certain rights upon “fundamental transactions,” as described in the Series D Warrant agreement, including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of the unexercised portion of the applicable Series D Warrants on the date of the consummation of the fundamental transactions. The Series D Warrant is classified as equity on the Company's condensed consolidated balance sheet. In October 2025, pursuant to the Letter Agreement, the equity investor exercised the Series D Warrants to purchase 6,967,150 shares of Class A Common Stock for cash proceeds of $4.5 million. As of March 31, 2026, there were 6,193,022 Series D Warrants outstanding.</w:t>
      </w:r>
    </w:p>
    <w:p>
      <w:pPr>
        <w:spacing w:after="0" w:line="149" w:lineRule="exact"/>
        <w:rPr>
          <w:sz w:val="20"/>
          <w:szCs w:val="20"/>
          <w:color w:val="auto"/>
        </w:rPr>
      </w:pPr>
    </w:p>
    <w:p>
      <w:pPr>
        <w:ind w:left="640" w:right="659" w:firstLine="701"/>
        <w:spacing w:after="0" w:line="260" w:lineRule="auto"/>
        <w:rPr>
          <w:sz w:val="20"/>
          <w:szCs w:val="20"/>
          <w:color w:val="auto"/>
        </w:rPr>
      </w:pPr>
      <w:r>
        <w:rPr>
          <w:rFonts w:ascii="Times New Roman" w:cs="Times New Roman" w:eastAsia="Times New Roman" w:hAnsi="Times New Roman"/>
          <w:sz w:val="14"/>
          <w:szCs w:val="14"/>
          <w:color w:val="auto"/>
        </w:rPr>
        <w:t>Pursuant to the terms of the Letter Agreement, in the event that the exercise of the Series B and Series C warrants would have otherwise caused a holder to exceed the beneficial ownership limitations set forth in the existing warrant, the Company issued the number of shares that would not cause a holder to exceed such beneficial ownership limitation and agreed to hold such balance of shares of Class A Common Stock in abeyance. Accordingly, an aggregate of 1,161,000 shares of Class A Common Stock from the exercise of the Series B and Series C warrants were held in abe</w:t>
      </w:r>
      <w:r>
        <w:rPr>
          <w:rFonts w:ascii="Times New Roman" w:cs="Times New Roman" w:eastAsia="Times New Roman" w:hAnsi="Times New Roman"/>
          <w:sz w:val="14"/>
          <w:szCs w:val="14"/>
          <w:color w:val="212529"/>
        </w:rPr>
        <w:t>yance (the “Abeyance Shares”) with such Abey</w:t>
      </w:r>
      <w:r>
        <w:rPr>
          <w:rFonts w:ascii="Times New Roman" w:cs="Times New Roman" w:eastAsia="Times New Roman" w:hAnsi="Times New Roman"/>
          <w:sz w:val="14"/>
          <w:szCs w:val="14"/>
          <w:color w:val="auto"/>
        </w:rPr>
        <w:t>ance Shares evidenced through the holder’s existing warrants and which are deemed to be prepaid. The Abeyance Shares were to be held until notice is received by the holder that the balance of the shares of Class A Common Stock may be issued in compliance with such beneficial ownership limitations and may be exercised pursuant to a notice of exercise from the holder. The Abeyance Shares were subsequently released and considered shares of Class A Common Stock in July 2025.</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Loan and Security Agreement Warrants</w:t>
      </w:r>
    </w:p>
    <w:p>
      <w:pPr>
        <w:spacing w:after="0" w:line="187" w:lineRule="exact"/>
        <w:rPr>
          <w:sz w:val="20"/>
          <w:szCs w:val="20"/>
          <w:color w:val="auto"/>
        </w:rPr>
      </w:pPr>
    </w:p>
    <w:p>
      <w:pPr>
        <w:ind w:left="640" w:right="679" w:firstLine="701"/>
        <w:spacing w:after="0" w:line="261" w:lineRule="auto"/>
        <w:rPr>
          <w:sz w:val="20"/>
          <w:szCs w:val="20"/>
          <w:color w:val="auto"/>
        </w:rPr>
      </w:pPr>
      <w:r>
        <w:rPr>
          <w:rFonts w:ascii="Times New Roman" w:cs="Times New Roman" w:eastAsia="Times New Roman" w:hAnsi="Times New Roman"/>
          <w:sz w:val="14"/>
          <w:szCs w:val="14"/>
          <w:color w:val="auto"/>
        </w:rPr>
        <w:t>In August 2022, in conjunction with a loan and security agreement,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The warrants are classified as equity on the Company’s condensed consolidated balance sheet. In September 2025, the Company modified the exercise price of the warrants to $0.50 in consideration for a deferral of a principal repayment due in October 2025. There were no other changes to the terms of the warrant agreement. On the modification date, the Company remeasured the warrants at the reduced exercise price and recognized an additional $15 thousand as interest expense in the condensed consolidated statements of operations. As of March 31, 2026, there were 76,336 warrants outstanding.</w:t>
      </w:r>
    </w:p>
    <w:p>
      <w:pPr>
        <w:spacing w:after="0" w:line="3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Warrant activity</w:t>
      </w:r>
    </w:p>
    <w:p>
      <w:pPr>
        <w:spacing w:after="0" w:line="1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 summary of warrant activity during the periods indicated is as follows:</w:t>
      </w:r>
    </w:p>
    <w:p>
      <w:pPr>
        <w:spacing w:after="0" w:line="84"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8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940" w:type="dxa"/>
            <w:vAlign w:val="bottom"/>
            <w:vMerge w:val="restart"/>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80" w:type="dxa"/>
            <w:vAlign w:val="bottom"/>
          </w:tcPr>
          <w:p>
            <w:pPr>
              <w:spacing w:after="0"/>
              <w:rPr>
                <w:sz w:val="10"/>
                <w:szCs w:val="10"/>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Aggregate Intrinsic</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ind w:right="35"/>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8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Contractual Term</w:t>
            </w:r>
          </w:p>
        </w:tc>
        <w:tc>
          <w:tcPr>
            <w:tcW w:w="18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94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8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180" w:type="dxa"/>
            <w:vAlign w:val="bottom"/>
          </w:tcPr>
          <w:p>
            <w:pPr>
              <w:spacing w:after="0"/>
              <w:rPr>
                <w:sz w:val="11"/>
                <w:szCs w:val="11"/>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Value (in thousands)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Outstanding at December 31,</w:t>
            </w:r>
          </w:p>
        </w:tc>
        <w:tc>
          <w:tcPr>
            <w:tcW w:w="9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131,569,362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540" w:type="dxa"/>
            <w:vAlign w:val="bottom"/>
            <w:gridSpan w:val="2"/>
            <w:shd w:val="clear" w:color="auto" w:fill="CFF0FC"/>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113,345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FF0FC"/>
            </w:tcBorders>
            <w:gridSpan w:val="2"/>
            <w:shd w:val="clear" w:color="auto" w:fill="CFF0FC"/>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at March 31, 2026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131,569,362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540" w:type="dxa"/>
            <w:vAlign w:val="bottom"/>
            <w:gridSpan w:val="2"/>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-135890</wp:posOffset>
            </wp:positionV>
            <wp:extent cx="4064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30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1"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4"/>
          <w:szCs w:val="14"/>
          <w:b w:val="1"/>
          <w:bCs w:val="1"/>
          <w:color w:val="auto"/>
        </w:rPr>
        <w:t>10. Stockholders’ Equity</w:t>
      </w:r>
    </w:p>
    <w:p>
      <w:pPr>
        <w:spacing w:after="0" w:line="185"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As of March 31, 2026, Rani Holdings held approximately 80% of the Class A Units of Rani LLC, and approximately 20% of the outstanding Class A Units of Rani LLC are held by the Continuing LLC Owners. From the date of the Organizational Transactions to March 31, 2026, 5,378,539 Paired Interests and 362,821 non-corresponding Class A Units of Rani LLC were exchanged for an equal number of shares of the Company's Class A common stock. For each of the three months ended March 31, 2026 and 2025, none of the Continuing LLC Owners executed an exchange of any Paired Interests and none of non-corresponding Class A Units of Rani LLC, for either period. In accordance with the Amended Rani LLC Agreement, Rani LLC also issues a corresponding Class A Unit to Rani Holdings for each share of common stock issued by Rani Holdings. This increases Rani Holdings’ ownership in Rani LLC.</w:t>
      </w:r>
    </w:p>
    <w:p>
      <w:pPr>
        <w:spacing w:after="0" w:line="3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11. Stock-Based Compensation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20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 summary of stock option activity during the periods indicated is as follows:</w:t>
      </w:r>
    </w:p>
    <w:p>
      <w:pPr>
        <w:spacing w:after="0" w:line="170"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Number of Stock</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4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1"/>
                <w:szCs w:val="11"/>
                <w:b w:val="1"/>
                <w:bCs w:val="1"/>
                <w:color w:val="auto"/>
              </w:rPr>
              <w:t>Average Exercise</w:t>
            </w:r>
          </w:p>
        </w:tc>
        <w:tc>
          <w:tcPr>
            <w:tcW w:w="1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60" w:type="dxa"/>
            <w:vAlign w:val="bottom"/>
          </w:tcPr>
          <w:p>
            <w:pPr>
              <w:spacing w:after="0"/>
              <w:rPr>
                <w:sz w:val="10"/>
                <w:szCs w:val="10"/>
                <w:color w:val="auto"/>
              </w:rPr>
            </w:pPr>
          </w:p>
        </w:tc>
        <w:tc>
          <w:tcPr>
            <w:tcW w:w="960" w:type="dxa"/>
            <w:vAlign w:val="bottom"/>
            <w:gridSpan w:val="3"/>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2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12,867,236</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55,601</w:t>
            </w:r>
          </w:p>
        </w:tc>
        <w:tc>
          <w:tcPr>
            <w:tcW w:w="100" w:type="dxa"/>
            <w:vAlign w:val="bottom"/>
          </w:tcPr>
          <w:p>
            <w:pPr>
              <w:spacing w:after="0"/>
              <w:rPr>
                <w:sz w:val="14"/>
                <w:szCs w:val="14"/>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(192,512)</w:t>
            </w:r>
          </w:p>
        </w:tc>
        <w:tc>
          <w:tcPr>
            <w:tcW w:w="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Balance at March 31, 2026</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12,730,325</w:t>
            </w: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2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2480" w:type="dxa"/>
            <w:vAlign w:val="bottom"/>
            <w:tcBorders>
              <w:bottom w:val="single" w:sz="8" w:color="CFF0FC"/>
            </w:tcBorders>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Exercisable at March 31, 2026</w:t>
            </w:r>
          </w:p>
        </w:tc>
        <w:tc>
          <w:tcPr>
            <w:tcW w:w="90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7,773,044</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gridSpan w:val="2"/>
            <w:shd w:val="clear" w:color="auto" w:fill="CFF0FC"/>
          </w:tcPr>
          <w:p>
            <w:pPr>
              <w:ind w:left="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5.39</w:t>
            </w:r>
          </w:p>
        </w:tc>
        <w:tc>
          <w:tcPr>
            <w:tcW w:w="1020" w:type="dxa"/>
            <w:vAlign w:val="bottom"/>
            <w:tcBorders>
              <w:bottom w:val="single" w:sz="8" w:color="CFF0FC"/>
            </w:tcBorders>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7.49</w:t>
            </w:r>
          </w:p>
        </w:tc>
        <w:tc>
          <w:tcPr>
            <w:tcW w:w="240" w:type="dxa"/>
            <w:vAlign w:val="bottom"/>
            <w:tcBorders>
              <w:bottom w:val="single" w:sz="8" w:color="CFF0FC"/>
            </w:tcBorders>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FF0FC"/>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566</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Nonvested at March 31, 2026</w:t>
            </w:r>
          </w:p>
        </w:tc>
        <w:tc>
          <w:tcPr>
            <w:tcW w:w="90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4,957,281</w:t>
            </w:r>
          </w:p>
        </w:tc>
        <w:tc>
          <w:tcPr>
            <w:tcW w:w="100" w:type="dxa"/>
            <w:vAlign w:val="bottom"/>
          </w:tcPr>
          <w:p>
            <w:pPr>
              <w:spacing w:after="0"/>
              <w:rPr>
                <w:sz w:val="12"/>
                <w:szCs w:val="12"/>
                <w:color w:val="auto"/>
              </w:rPr>
            </w:pPr>
          </w:p>
        </w:tc>
        <w:tc>
          <w:tcPr>
            <w:tcW w:w="18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1.83</w:t>
            </w:r>
          </w:p>
        </w:tc>
        <w:tc>
          <w:tcPr>
            <w:tcW w:w="10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8.61</w:t>
            </w:r>
          </w:p>
        </w:tc>
        <w:tc>
          <w:tcPr>
            <w:tcW w:w="2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1,861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-394970</wp:posOffset>
            </wp:positionV>
            <wp:extent cx="4064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-149225</wp:posOffset>
            </wp:positionV>
            <wp:extent cx="4064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-135890</wp:posOffset>
            </wp:positionV>
            <wp:extent cx="4064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699" w:firstLine="701"/>
        <w:spacing w:after="0" w:line="292" w:lineRule="auto"/>
        <w:rPr>
          <w:sz w:val="20"/>
          <w:szCs w:val="20"/>
          <w:color w:val="auto"/>
        </w:rPr>
      </w:pPr>
      <w:r>
        <w:rPr>
          <w:rFonts w:ascii="Times New Roman" w:cs="Times New Roman" w:eastAsia="Times New Roman" w:hAnsi="Times New Roman"/>
          <w:sz w:val="14"/>
          <w:szCs w:val="14"/>
          <w:color w:val="auto"/>
        </w:rPr>
        <w:t>As of March 31, 2026, there was $7.5 million of unrecognized stock-based compensation expense related to stock options which is expected to be recognized over a weighted-average period of approximately 2.4 years.</w:t>
      </w:r>
    </w:p>
    <w:p>
      <w:pPr>
        <w:spacing w:after="0" w:line="124" w:lineRule="exact"/>
        <w:rPr>
          <w:sz w:val="20"/>
          <w:szCs w:val="20"/>
          <w:color w:val="auto"/>
        </w:rPr>
      </w:pPr>
    </w:p>
    <w:p>
      <w:pPr>
        <w:ind w:left="640" w:right="859" w:firstLine="701"/>
        <w:spacing w:after="0" w:line="292" w:lineRule="auto"/>
        <w:rPr>
          <w:sz w:val="20"/>
          <w:szCs w:val="20"/>
          <w:color w:val="auto"/>
        </w:rPr>
      </w:pPr>
      <w:r>
        <w:rPr>
          <w:rFonts w:ascii="Times New Roman" w:cs="Times New Roman" w:eastAsia="Times New Roman" w:hAnsi="Times New Roman"/>
          <w:sz w:val="14"/>
          <w:szCs w:val="14"/>
          <w:color w:val="auto"/>
        </w:rPr>
        <w:t>The Company uses the Black-Scholes option pricing model to estimate the fair value of each stock option award on the date of grant. The assumptions and estimates are as follows:</w:t>
      </w:r>
    </w:p>
    <w:p>
      <w:pPr>
        <w:spacing w:after="0" w:line="36" w:lineRule="exact"/>
        <w:rPr>
          <w:sz w:val="20"/>
          <w:szCs w:val="20"/>
          <w:color w:val="auto"/>
        </w:rPr>
      </w:pPr>
    </w:p>
    <w:p>
      <w:pPr>
        <w:ind w:left="1680" w:right="679" w:hanging="341"/>
        <w:spacing w:after="0" w:line="275"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Expected term </w:t>
      </w:r>
      <w:r>
        <w:rPr>
          <w:rFonts w:ascii="Times New Roman" w:cs="Times New Roman" w:eastAsia="Times New Roman" w:hAnsi="Times New Roman"/>
          <w:sz w:val="14"/>
          <w:szCs w:val="14"/>
          <w:color w:val="auto"/>
        </w:rPr>
        <w:t>- The expected term represents the period of time that stock option awards are expected to remain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outstanding. The Company estimates the expected term as the midpoint between actual or expected vesting date and the contractual term.</w:t>
      </w:r>
    </w:p>
    <w:p>
      <w:pPr>
        <w:spacing w:after="0" w:line="48" w:lineRule="exact"/>
        <w:rPr>
          <w:rFonts w:ascii="Times New Roman" w:cs="Times New Roman" w:eastAsia="Times New Roman" w:hAnsi="Times New Roman"/>
          <w:sz w:val="14"/>
          <w:szCs w:val="14"/>
          <w:color w:val="auto"/>
        </w:rPr>
      </w:pPr>
    </w:p>
    <w:p>
      <w:pPr>
        <w:ind w:left="1680" w:right="679" w:hanging="341"/>
        <w:spacing w:after="0" w:line="275"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Expected volatility </w:t>
      </w:r>
      <w:r>
        <w:rPr>
          <w:rFonts w:ascii="Times New Roman" w:cs="Times New Roman" w:eastAsia="Times New Roman" w:hAnsi="Times New Roman"/>
          <w:sz w:val="14"/>
          <w:szCs w:val="14"/>
          <w:color w:val="auto"/>
        </w:rPr>
        <w:t>- The expected volatility was derived from the historical stock volatilities of peer public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within the Company's industry that are considered to be comparable businesses over a period equivalent to the expected term of the stock option awards, since there has been limited trading history of the Company's stock.</w:t>
      </w:r>
    </w:p>
    <w:p>
      <w:pPr>
        <w:spacing w:after="0" w:line="48" w:lineRule="exact"/>
        <w:rPr>
          <w:rFonts w:ascii="Times New Roman" w:cs="Times New Roman" w:eastAsia="Times New Roman" w:hAnsi="Times New Roman"/>
          <w:sz w:val="14"/>
          <w:szCs w:val="14"/>
          <w:color w:val="auto"/>
        </w:rPr>
      </w:pPr>
    </w:p>
    <w:p>
      <w:pPr>
        <w:ind w:left="1680" w:right="679" w:hanging="341"/>
        <w:spacing w:after="0" w:line="275"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Risk-free interest rate </w:t>
      </w:r>
      <w:r>
        <w:rPr>
          <w:rFonts w:ascii="Times New Roman" w:cs="Times New Roman" w:eastAsia="Times New Roman" w:hAnsi="Times New Roman"/>
          <w:sz w:val="14"/>
          <w:szCs w:val="14"/>
          <w:color w:val="auto"/>
        </w:rPr>
        <w:t>- The risk-free interest rate is based on the U.S. Treasury yield curve in effect at the date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grant for zero-coupon U.S. Treasury notes with maturities approximately equal to the stock option awards’ expected term.</w:t>
      </w:r>
    </w:p>
    <w:p>
      <w:pPr>
        <w:spacing w:after="0" w:line="48" w:lineRule="exact"/>
        <w:rPr>
          <w:rFonts w:ascii="Times New Roman" w:cs="Times New Roman" w:eastAsia="Times New Roman" w:hAnsi="Times New Roman"/>
          <w:sz w:val="14"/>
          <w:szCs w:val="14"/>
          <w:color w:val="auto"/>
        </w:rPr>
      </w:pPr>
    </w:p>
    <w:p>
      <w:pPr>
        <w:ind w:left="1680" w:right="1079" w:hanging="341"/>
        <w:spacing w:after="0" w:line="295"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Expected dividend yield </w:t>
      </w:r>
      <w:r>
        <w:rPr>
          <w:rFonts w:ascii="Times New Roman" w:cs="Times New Roman" w:eastAsia="Times New Roman" w:hAnsi="Times New Roman"/>
          <w:sz w:val="14"/>
          <w:szCs w:val="14"/>
          <w:color w:val="auto"/>
        </w:rPr>
        <w:t>- The expected dividend yield is zero as the Company has no plans to make dividend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payments.</w:t>
      </w:r>
    </w:p>
    <w:p>
      <w:pPr>
        <w:spacing w:after="0" w:line="122" w:lineRule="exact"/>
        <w:rPr>
          <w:sz w:val="20"/>
          <w:szCs w:val="20"/>
          <w:color w:val="auto"/>
        </w:rPr>
      </w:pPr>
    </w:p>
    <w:p>
      <w:pPr>
        <w:ind w:left="640" w:right="77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weighted average assumptions used in estimating the fair value of stock option awards on the grant date:</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4720" w:type="dxa"/>
            <w:vAlign w:val="bottom"/>
          </w:tcPr>
          <w:p>
            <w:pPr>
              <w:spacing w:after="0"/>
              <w:rPr>
                <w:sz w:val="11"/>
                <w:szCs w:val="11"/>
                <w:color w:val="auto"/>
              </w:rPr>
            </w:pPr>
          </w:p>
        </w:tc>
        <w:tc>
          <w:tcPr>
            <w:tcW w:w="15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r>
      <w:tr>
        <w:trPr>
          <w:trHeight w:val="109"/>
        </w:trPr>
        <w:tc>
          <w:tcPr>
            <w:tcW w:w="4720" w:type="dxa"/>
            <w:vAlign w:val="bottom"/>
          </w:tcPr>
          <w:p>
            <w:pPr>
              <w:spacing w:after="0"/>
              <w:rPr>
                <w:sz w:val="9"/>
                <w:szCs w:val="9"/>
                <w:color w:val="auto"/>
              </w:rPr>
            </w:pPr>
          </w:p>
        </w:tc>
        <w:tc>
          <w:tcPr>
            <w:tcW w:w="1500" w:type="dxa"/>
            <w:vAlign w:val="bottom"/>
            <w:tcBorders>
              <w:bottom w:val="single" w:sz="8" w:color="auto"/>
            </w:tcBorders>
          </w:tcPr>
          <w:p>
            <w:pPr>
              <w:jc w:val="right"/>
              <w:ind w:right="57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r>
        <w:trPr>
          <w:trHeight w:val="16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r>
      <w:tr>
        <w:trPr>
          <w:trHeight w:val="186"/>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r>
    </w:tbl>
    <w:p>
      <w:pPr>
        <w:spacing w:after="0" w:line="315"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20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 summary of restricted stock unit (“RSU”) activity during the periods indicated is as follows:</w:t>
      </w:r>
    </w:p>
    <w:p>
      <w:pPr>
        <w:spacing w:after="0" w:line="170"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Number of Restricted</w:t>
            </w:r>
          </w:p>
        </w:tc>
        <w:tc>
          <w:tcPr>
            <w:tcW w:w="80" w:type="dxa"/>
            <w:vAlign w:val="bottom"/>
          </w:tcPr>
          <w:p>
            <w:pPr>
              <w:spacing w:after="0"/>
              <w:rPr>
                <w:sz w:val="11"/>
                <w:szCs w:val="11"/>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Grant-</w:t>
            </w:r>
          </w:p>
        </w:tc>
      </w:tr>
      <w:tr>
        <w:trPr>
          <w:trHeight w:val="137"/>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3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Stock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Date Fair Value per Share</w:t>
            </w:r>
          </w:p>
        </w:tc>
        <w:tc>
          <w:tcPr>
            <w:tcW w:w="8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348,702</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(123,389)</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0" w:type="dxa"/>
            <w:vAlign w:val="bottom"/>
          </w:tcPr>
          <w:p>
            <w:pPr>
              <w:spacing w:after="0"/>
              <w:rPr>
                <w:sz w:val="14"/>
                <w:szCs w:val="14"/>
                <w:color w:val="auto"/>
              </w:rPr>
            </w:pPr>
          </w:p>
        </w:tc>
        <w:tc>
          <w:tcPr>
            <w:tcW w:w="3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Balance at March 31, 2026</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225,313</w:t>
            </w:r>
          </w:p>
        </w:tc>
        <w:tc>
          <w:tcPr>
            <w:tcW w:w="120" w:type="dxa"/>
            <w:vAlign w:val="bottom"/>
            <w:tcBorders>
              <w:top w:val="single" w:sz="8" w:color="CFF0FC"/>
            </w:tcBorders>
          </w:tcPr>
          <w:p>
            <w:pPr>
              <w:spacing w:after="0"/>
              <w:rPr>
                <w:sz w:val="14"/>
                <w:szCs w:val="14"/>
                <w:color w:val="auto"/>
              </w:rPr>
            </w:pPr>
          </w:p>
        </w:tc>
        <w:tc>
          <w:tcPr>
            <w:tcW w:w="660" w:type="dxa"/>
            <w:vAlign w:val="bottom"/>
            <w:tcBorders>
              <w:top w:val="single" w:sz="8" w:color="CFF0FC"/>
            </w:tcBorders>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tcBorders>
              <w:top w:val="single" w:sz="8" w:color="CFF0FC"/>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-135890</wp:posOffset>
            </wp:positionV>
            <wp:extent cx="4064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jc w:val="both"/>
        <w:ind w:left="640" w:right="719" w:firstLine="701"/>
        <w:spacing w:after="0" w:line="274" w:lineRule="auto"/>
        <w:rPr>
          <w:sz w:val="20"/>
          <w:szCs w:val="20"/>
          <w:color w:val="auto"/>
        </w:rPr>
      </w:pPr>
      <w:r>
        <w:rPr>
          <w:rFonts w:ascii="Times New Roman" w:cs="Times New Roman" w:eastAsia="Times New Roman" w:hAnsi="Times New Roman"/>
          <w:sz w:val="14"/>
          <w:szCs w:val="14"/>
          <w:color w:val="auto"/>
        </w:rPr>
        <w:t>As of March 31, 2026, there was $1.2 million of unrecognized stock-based compensation expense related to RSUs which is expected to be recognized over a weighted-average period of approximately 1.0 years. The total fair value of RSUs vested was $0.1 million for the three months ended March 31, 2026.</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87" w:lineRule="exact"/>
        <w:rPr>
          <w:sz w:val="20"/>
          <w:szCs w:val="20"/>
          <w:color w:val="auto"/>
        </w:rPr>
      </w:pPr>
    </w:p>
    <w:p>
      <w:pPr>
        <w:jc w:val="both"/>
        <w:ind w:left="640" w:right="759" w:firstLine="701"/>
        <w:spacing w:after="0" w:line="290" w:lineRule="auto"/>
        <w:rPr>
          <w:sz w:val="20"/>
          <w:szCs w:val="20"/>
          <w:color w:val="auto"/>
        </w:rPr>
      </w:pPr>
      <w:r>
        <w:rPr>
          <w:rFonts w:ascii="Times New Roman" w:cs="Times New Roman" w:eastAsia="Times New Roman" w:hAnsi="Times New Roman"/>
          <w:sz w:val="14"/>
          <w:szCs w:val="14"/>
          <w:color w:val="auto"/>
        </w:rPr>
        <w:t>The following table summarizes the components of stock-based compensation expense resulting from the grant of stock options, RSUs, RSAs, and the ESPP, recorded in the Company’s condensed consolidated statement of operations and comprehensive loss (in thousands):</w:t>
      </w:r>
    </w:p>
    <w:p>
      <w:pPr>
        <w:spacing w:after="0" w:line="121"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2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8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2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Borders>
              <w:bottom w:val="single" w:sz="8" w:color="auto"/>
            </w:tcBorders>
          </w:tcPr>
          <w:p>
            <w:pPr>
              <w:jc w:val="right"/>
              <w:ind w:right="4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4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Borders>
              <w:bottom w:val="single" w:sz="8" w:color="auto"/>
            </w:tcBorders>
          </w:tcPr>
          <w:p>
            <w:pPr>
              <w:jc w:val="right"/>
              <w:ind w:right="4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63"/>
        </w:trPr>
        <w:tc>
          <w:tcPr>
            <w:tcW w:w="2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4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6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80" w:type="dxa"/>
            <w:vAlign w:val="bottom"/>
            <w:shd w:val="clear" w:color="auto" w:fill="CFF0FC"/>
          </w:tcPr>
          <w:p>
            <w:pPr>
              <w:spacing w:after="0"/>
              <w:rPr>
                <w:sz w:val="14"/>
                <w:szCs w:val="14"/>
                <w:color w:val="auto"/>
              </w:rPr>
            </w:pPr>
          </w:p>
        </w:tc>
      </w:tr>
      <w:tr>
        <w:trPr>
          <w:trHeight w:val="172"/>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80" w:type="dxa"/>
            <w:vAlign w:val="bottom"/>
          </w:tcPr>
          <w:p>
            <w:pPr>
              <w:spacing w:after="0"/>
              <w:rPr>
                <w:sz w:val="14"/>
                <w:szCs w:val="14"/>
                <w:color w:val="auto"/>
              </w:rPr>
            </w:pPr>
          </w:p>
        </w:tc>
      </w:tr>
      <w:tr>
        <w:trPr>
          <w:trHeight w:val="183"/>
        </w:trPr>
        <w:tc>
          <w:tcPr>
            <w:tcW w:w="2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164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106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3,925</w:t>
            </w:r>
          </w:p>
        </w:tc>
        <w:tc>
          <w:tcPr>
            <w:tcW w:w="80" w:type="dxa"/>
            <w:vAlign w:val="bottom"/>
            <w:shd w:val="clear" w:color="auto" w:fill="CFF0FC"/>
          </w:tcPr>
          <w:p>
            <w:pPr>
              <w:spacing w:after="0"/>
              <w:rPr>
                <w:sz w:val="15"/>
                <w:szCs w:val="15"/>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-19685</wp:posOffset>
            </wp:positionV>
            <wp:extent cx="4064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-6350</wp:posOffset>
            </wp:positionV>
            <wp:extent cx="4064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12. Commitments and Contingencies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87" w:lineRule="exact"/>
        <w:rPr>
          <w:sz w:val="20"/>
          <w:szCs w:val="20"/>
          <w:color w:val="auto"/>
        </w:rPr>
      </w:pPr>
    </w:p>
    <w:p>
      <w:pPr>
        <w:ind w:left="640" w:right="859" w:firstLine="701"/>
        <w:spacing w:after="0" w:line="274" w:lineRule="auto"/>
        <w:rPr>
          <w:sz w:val="20"/>
          <w:szCs w:val="20"/>
          <w:color w:val="auto"/>
        </w:rPr>
      </w:pPr>
      <w:r>
        <w:rPr>
          <w:rFonts w:ascii="Times New Roman" w:cs="Times New Roman" w:eastAsia="Times New Roman" w:hAnsi="Times New Roman"/>
          <w:sz w:val="14"/>
          <w:szCs w:val="14"/>
          <w:color w:val="auto"/>
        </w:rPr>
        <w:t>The Company enters into lease arrangements for office and laboratory facilities under operating leases accounted for in accordance with ASC 842 "Leases" ("ASC 842"). The Company’s future minimum lease payments under operating leases are presented within the lease footnote (Note 8).</w:t>
      </w:r>
    </w:p>
    <w:p>
      <w:pPr>
        <w:spacing w:after="0" w:line="136" w:lineRule="exact"/>
        <w:rPr>
          <w:sz w:val="20"/>
          <w:szCs w:val="20"/>
          <w:color w:val="auto"/>
        </w:rPr>
      </w:pPr>
    </w:p>
    <w:p>
      <w:pPr>
        <w:ind w:left="640" w:right="819" w:firstLine="701"/>
        <w:spacing w:after="0" w:line="274" w:lineRule="auto"/>
        <w:rPr>
          <w:sz w:val="20"/>
          <w:szCs w:val="20"/>
          <w:color w:val="auto"/>
        </w:rPr>
      </w:pPr>
      <w:r>
        <w:rPr>
          <w:rFonts w:ascii="Times New Roman" w:cs="Times New Roman" w:eastAsia="Times New Roman" w:hAnsi="Times New Roman"/>
          <w:sz w:val="14"/>
          <w:szCs w:val="14"/>
          <w:color w:val="auto"/>
        </w:rPr>
        <w:t>The Company’s lease liabilities represent a contractual commitment to make future payments over the lease term. As of March 31, 2026, the Company had no additional significant lease commitments outside of those recognized as operating lease liabilities on the condensed consolidated balance sheets.</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87" w:lineRule="exact"/>
        <w:rPr>
          <w:sz w:val="20"/>
          <w:szCs w:val="20"/>
          <w:color w:val="auto"/>
        </w:rPr>
      </w:pPr>
    </w:p>
    <w:p>
      <w:pPr>
        <w:ind w:left="640" w:right="779" w:firstLine="701"/>
        <w:spacing w:after="0" w:line="268" w:lineRule="auto"/>
        <w:rPr>
          <w:sz w:val="20"/>
          <w:szCs w:val="20"/>
          <w:color w:val="auto"/>
        </w:rPr>
      </w:pPr>
      <w:r>
        <w:rPr>
          <w:rFonts w:ascii="Times New Roman" w:cs="Times New Roman" w:eastAsia="Times New Roman" w:hAnsi="Times New Roman"/>
          <w:sz w:val="14"/>
          <w:szCs w:val="14"/>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13. Income Taxes</w:t>
      </w:r>
    </w:p>
    <w:p>
      <w:pPr>
        <w:spacing w:after="0" w:line="185"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The Company’s effective income tax rate was zero for each of the three months ended March 31, 2026 and 2025. As a result of the Company’s history of operating losses, the Company believes that recognition of the deferred tax assets arising from such future income tax benefits is currently not likely to be realized and, accordingly, has recognized a full valuation allowance on its deferred tax assets. There were no material changes to uncertain tax positions for the three months ended March 31, 2026 and 2025, and the Company does not anticipate material changes within the next twelve months.</w:t>
      </w:r>
    </w:p>
    <w:p>
      <w:pPr>
        <w:spacing w:after="0" w:line="31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1"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b w:val="1"/>
          <w:bCs w:val="1"/>
          <w:color w:val="auto"/>
        </w:rPr>
        <w:t>14. Net Loss Per Share</w:t>
      </w:r>
    </w:p>
    <w:p>
      <w:pPr>
        <w:spacing w:after="0" w:line="185" w:lineRule="exact"/>
        <w:rPr>
          <w:sz w:val="20"/>
          <w:szCs w:val="20"/>
          <w:color w:val="auto"/>
        </w:rPr>
      </w:pPr>
    </w:p>
    <w:p>
      <w:pPr>
        <w:ind w:left="640" w:right="67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net loss per Class A common share attributable to Rani Holdings (in thousands, except per share data):</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60" w:type="dxa"/>
            <w:vAlign w:val="bottom"/>
            <w:gridSpan w:val="5"/>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34"/>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35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Net loss per Class A common share attributable to Rani Therapeutics</w:t>
            </w: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(7,033)</w:t>
            </w:r>
          </w:p>
        </w:tc>
        <w:tc>
          <w:tcPr>
            <w:tcW w:w="24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(7,264)</w:t>
            </w:r>
          </w:p>
        </w:tc>
        <w:tc>
          <w:tcPr>
            <w:tcW w:w="0" w:type="dxa"/>
            <w:vAlign w:val="bottom"/>
          </w:tcPr>
          <w:p>
            <w:pPr>
              <w:spacing w:after="0"/>
              <w:rPr>
                <w:sz w:val="1"/>
                <w:szCs w:val="1"/>
                <w:color w:val="auto"/>
              </w:rPr>
            </w:pPr>
          </w:p>
        </w:tc>
      </w:tr>
      <w:tr>
        <w:trPr>
          <w:trHeight w:val="154"/>
        </w:trPr>
        <w:tc>
          <w:tcPr>
            <w:tcW w:w="41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Holdings, Inc.</w:t>
            </w:r>
          </w:p>
        </w:tc>
        <w:tc>
          <w:tcPr>
            <w:tcW w:w="3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Denominator:</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Weighted average Class A common shares outstanding—basic and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179,996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33,440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Net loss per Class A common share attributable to Rani Therapeutics</w:t>
            </w:r>
          </w:p>
        </w:tc>
        <w:tc>
          <w:tcPr>
            <w:tcW w:w="3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(0.04)</w:t>
            </w:r>
          </w:p>
        </w:tc>
        <w:tc>
          <w:tcPr>
            <w:tcW w:w="240" w:type="dxa"/>
            <w:vAlign w:val="bottom"/>
            <w:vMerge w:val="restart"/>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Holdings, Inc.—basic and diluted</w:t>
            </w:r>
          </w:p>
        </w:tc>
        <w:tc>
          <w:tcPr>
            <w:tcW w:w="380" w:type="dxa"/>
            <w:vAlign w:val="bottom"/>
            <w:gridSpan w:val="2"/>
            <w:vMerge w:val="continue"/>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88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-770255</wp:posOffset>
            </wp:positionV>
            <wp:extent cx="4064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-770255</wp:posOffset>
            </wp:positionV>
            <wp:extent cx="4064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-19685</wp:posOffset>
            </wp:positionV>
            <wp:extent cx="4064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-6350</wp:posOffset>
            </wp:positionV>
            <wp:extent cx="4064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879" w:firstLine="710"/>
        <w:spacing w:after="0" w:line="292" w:lineRule="auto"/>
        <w:tabs>
          <w:tab w:leader="none" w:pos="145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pre-funded warrants (Note 9) are considered outstanding shares in the basic earnings per share calculation given their nominal exercise price (as of the beginning of the period or the date of the grant, whichever is earlier).</w:t>
      </w:r>
    </w:p>
    <w:p>
      <w:pPr>
        <w:spacing w:after="0" w:line="124" w:lineRule="exact"/>
        <w:rPr>
          <w:sz w:val="20"/>
          <w:szCs w:val="20"/>
          <w:color w:val="auto"/>
        </w:rPr>
      </w:pPr>
    </w:p>
    <w:p>
      <w:pPr>
        <w:ind w:left="640" w:right="111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 shows the total outstanding securities considered anti-dilutive and therefore excluded from the computation of diluted net loss per Class A common share attributable to Rani Holdings (in thousands):</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4340" w:type="dxa"/>
            <w:vAlign w:val="bottom"/>
          </w:tcPr>
          <w:p>
            <w:pPr>
              <w:spacing w:after="0"/>
              <w:rPr>
                <w:sz w:val="11"/>
                <w:szCs w:val="11"/>
                <w:color w:val="auto"/>
              </w:rPr>
            </w:pPr>
          </w:p>
        </w:tc>
        <w:tc>
          <w:tcPr>
            <w:tcW w:w="15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1"/>
                <w:szCs w:val="11"/>
                <w:b w:val="1"/>
                <w:bCs w:val="1"/>
                <w:color w:val="auto"/>
              </w:rPr>
              <w:t>As of March 31,</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4340" w:type="dxa"/>
            <w:vAlign w:val="bottom"/>
          </w:tcPr>
          <w:p>
            <w:pPr>
              <w:spacing w:after="0"/>
              <w:rPr>
                <w:sz w:val="9"/>
                <w:szCs w:val="9"/>
                <w:color w:val="auto"/>
              </w:rPr>
            </w:pPr>
          </w:p>
        </w:tc>
        <w:tc>
          <w:tcPr>
            <w:tcW w:w="1040" w:type="dxa"/>
            <w:vAlign w:val="bottom"/>
            <w:tcBorders>
              <w:bottom w:val="single" w:sz="8" w:color="auto"/>
            </w:tcBorders>
          </w:tcPr>
          <w:p>
            <w:pPr>
              <w:jc w:val="right"/>
              <w:ind w:right="33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350"/>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9"/>
                <w:szCs w:val="9"/>
                <w:color w:val="auto"/>
              </w:rPr>
            </w:pPr>
          </w:p>
        </w:tc>
      </w:tr>
      <w:tr>
        <w:trPr>
          <w:trHeight w:val="16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Paired Interests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23,970</w:t>
            </w: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23,972</w:t>
            </w:r>
          </w:p>
        </w:tc>
        <w:tc>
          <w:tcPr>
            <w:tcW w:w="80" w:type="dxa"/>
            <w:vAlign w:val="bottom"/>
            <w:shd w:val="clear" w:color="auto" w:fill="CFF0FC"/>
          </w:tcPr>
          <w:p>
            <w:pPr>
              <w:spacing w:after="0"/>
              <w:rPr>
                <w:sz w:val="14"/>
                <w:szCs w:val="14"/>
                <w:color w:val="auto"/>
              </w:rPr>
            </w:pPr>
          </w:p>
        </w:tc>
      </w:tr>
      <w:tr>
        <w:trPr>
          <w:trHeight w:val="17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12,730</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11,382</w:t>
            </w:r>
          </w:p>
        </w:tc>
        <w:tc>
          <w:tcPr>
            <w:tcW w:w="80" w:type="dxa"/>
            <w:vAlign w:val="bottom"/>
          </w:tcPr>
          <w:p>
            <w:pPr>
              <w:spacing w:after="0"/>
              <w:rPr>
                <w:sz w:val="14"/>
                <w:szCs w:val="14"/>
                <w:color w:val="auto"/>
              </w:rPr>
            </w:pPr>
          </w:p>
        </w:tc>
      </w:tr>
      <w:tr>
        <w:trPr>
          <w:trHeight w:val="17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131,569</w:t>
            </w: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80" w:type="dxa"/>
            <w:vAlign w:val="bottom"/>
            <w:shd w:val="clear" w:color="auto" w:fill="CFF0FC"/>
          </w:tcPr>
          <w:p>
            <w:pPr>
              <w:spacing w:after="0"/>
              <w:rPr>
                <w:sz w:val="14"/>
                <w:szCs w:val="14"/>
                <w:color w:val="auto"/>
              </w:rPr>
            </w:pPr>
          </w:p>
        </w:tc>
      </w:tr>
      <w:tr>
        <w:trPr>
          <w:trHeight w:val="17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Non-corresponding Class A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80" w:type="dxa"/>
            <w:vAlign w:val="bottom"/>
          </w:tcPr>
          <w:p>
            <w:pPr>
              <w:spacing w:after="0"/>
              <w:rPr>
                <w:sz w:val="14"/>
                <w:szCs w:val="14"/>
                <w:color w:val="auto"/>
              </w:rPr>
            </w:pPr>
          </w:p>
        </w:tc>
      </w:tr>
      <w:tr>
        <w:trPr>
          <w:trHeight w:val="17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shd w:val="clear" w:color="auto" w:fill="CFF0FC"/>
          </w:tcPr>
          <w:p>
            <w:pPr>
              <w:spacing w:after="0"/>
              <w:rPr>
                <w:sz w:val="14"/>
                <w:szCs w:val="14"/>
                <w:color w:val="auto"/>
              </w:rPr>
            </w:pPr>
          </w:p>
        </w:tc>
      </w:tr>
      <w:tr>
        <w:trPr>
          <w:trHeight w:val="172"/>
        </w:trPr>
        <w:tc>
          <w:tcPr>
            <w:tcW w:w="4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Shares issuable pursuant to the ESPP</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FF0FC"/>
            </w:tcBorders>
          </w:tcPr>
          <w:p>
            <w:pPr>
              <w:spacing w:after="0"/>
              <w:rPr>
                <w:sz w:val="14"/>
                <w:szCs w:val="14"/>
                <w:color w:val="auto"/>
              </w:rPr>
            </w:pPr>
          </w:p>
        </w:tc>
      </w:tr>
      <w:tr>
        <w:trPr>
          <w:trHeight w:val="203"/>
        </w:trPr>
        <w:tc>
          <w:tcPr>
            <w:tcW w:w="43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169,671</w:t>
            </w:r>
          </w:p>
        </w:tc>
        <w:tc>
          <w:tcPr>
            <w:tcW w:w="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43,955</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4064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-6350</wp:posOffset>
            </wp:positionV>
            <wp:extent cx="4064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-135890</wp:posOffset>
            </wp:positionV>
            <wp:extent cx="4064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-135890</wp:posOffset>
            </wp:positionV>
            <wp:extent cx="4064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719" w:firstLine="701"/>
        <w:spacing w:after="0" w:line="267" w:lineRule="auto"/>
        <w:rPr>
          <w:sz w:val="20"/>
          <w:szCs w:val="20"/>
          <w:color w:val="auto"/>
        </w:rPr>
      </w:pPr>
      <w:r>
        <w:rPr>
          <w:rFonts w:ascii="Times New Roman" w:cs="Times New Roman" w:eastAsia="Times New Roman" w:hAnsi="Times New Roman"/>
          <w:sz w:val="14"/>
          <w:szCs w:val="14"/>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three months ended March 31, 2026. Therefore, they are not included in the computation of net loss per Class A common share attributable to Rani Therapeutics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FINANCIAL CONDITION AND RESULTS OF OPERATIONS</w:t>
      </w:r>
    </w:p>
    <w:p>
      <w:pPr>
        <w:spacing w:after="0" w:line="167" w:lineRule="exact"/>
        <w:rPr>
          <w:sz w:val="20"/>
          <w:szCs w:val="20"/>
          <w:color w:val="auto"/>
        </w:rPr>
      </w:pPr>
    </w:p>
    <w:p>
      <w:pPr>
        <w:ind w:left="640" w:right="679" w:firstLine="701"/>
        <w:spacing w:after="0" w:line="261" w:lineRule="auto"/>
        <w:rPr>
          <w:sz w:val="20"/>
          <w:szCs w:val="20"/>
          <w:color w:val="auto"/>
        </w:rPr>
      </w:pPr>
      <w:r>
        <w:rPr>
          <w:rFonts w:ascii="Times New Roman" w:cs="Times New Roman" w:eastAsia="Times New Roman" w:hAnsi="Times New Roman"/>
          <w:sz w:val="14"/>
          <w:szCs w:val="14"/>
          <w:i w:val="1"/>
          <w:iCs w:val="1"/>
          <w:color w:val="auto"/>
        </w:rPr>
        <w:t>You should read the following management's discussion and analysis of our financial condition and results of operations together with our unaudited condensed consolidated financial statements and the related notes and other information included elsewhere in this Quarterly Report on Form 10-Q and the audited consolidated financial statements and notes thereto included in our Annual Report on Form 10-K for the year ended December 31, 2025,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this Quarterly Report on Form 10-Q and in our Annual Report on Form 10-K for the year ended December 31, 2025. Please also see the section titled “Forward Looking Statements.”</w:t>
      </w:r>
    </w:p>
    <w:p>
      <w:pPr>
        <w:spacing w:after="0" w:line="143" w:lineRule="exact"/>
        <w:rPr>
          <w:sz w:val="20"/>
          <w:szCs w:val="20"/>
          <w:color w:val="auto"/>
        </w:rPr>
      </w:pPr>
    </w:p>
    <w:p>
      <w:pPr>
        <w:ind w:left="640" w:right="679" w:firstLine="701"/>
        <w:spacing w:after="0" w:line="266" w:lineRule="auto"/>
        <w:rPr>
          <w:sz w:val="20"/>
          <w:szCs w:val="20"/>
          <w:color w:val="auto"/>
        </w:rPr>
      </w:pPr>
      <w:r>
        <w:rPr>
          <w:rFonts w:ascii="Times New Roman" w:cs="Times New Roman" w:eastAsia="Times New Roman" w:hAnsi="Times New Roman"/>
          <w:sz w:val="14"/>
          <w:szCs w:val="14"/>
          <w:i w:val="1"/>
          <w:iCs w:val="1"/>
          <w:color w:val="auto"/>
        </w:rPr>
        <w:t>The following discussion contains references to the three months ended March 31, 2026 and 2025, respectively, which represents the condensed consolidated financial results of Rani Therapeutics Holdings, Inc. (the "Company") and its subsidiary, Rani Therapeutics, LLC (“Rani LLC”) for the three months ended March 31, 2026 and 2025, respectively. Unless we state otherwise or the context otherwise requires, the terms “we,” “us,” “our,” and “Rani” and similar references refer to the Company and its consolidated subsidiary.</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5" w:lineRule="exact"/>
        <w:rPr>
          <w:sz w:val="20"/>
          <w:szCs w:val="20"/>
          <w:color w:val="auto"/>
        </w:rPr>
      </w:pPr>
    </w:p>
    <w:p>
      <w:pPr>
        <w:ind w:left="640" w:right="659" w:firstLine="701"/>
        <w:spacing w:after="0" w:line="263" w:lineRule="auto"/>
        <w:rPr>
          <w:sz w:val="20"/>
          <w:szCs w:val="20"/>
          <w:color w:val="auto"/>
        </w:rPr>
      </w:pPr>
      <w:r>
        <w:rPr>
          <w:rFonts w:ascii="Times New Roman" w:cs="Times New Roman" w:eastAsia="Times New Roman" w:hAnsi="Times New Roman"/>
          <w:sz w:val="14"/>
          <w:szCs w:val="14"/>
          <w:color w:val="auto"/>
        </w:rPr>
        <w:t>We are a clinical-stage biotherapeutics company focusing on advancing technologies to enable the administration of biologics and drugs orally, to provide patients, physicians, and healthcare systems with a convenient alternative to painful injections. Our technology comprises a drug-agnostic oral delivery platform, the RaniPill capsule, which is designed to deliver a wide variety of drug substances, including antibodies, proteins, peptides, and oligonucleotides. We are advancing a portfolio of oral therapeutics using the RaniPill capsule and we are actively pursuing partnering the technology with third party biopharmaceutical companies for the oral delivery of their biologics and drugs.</w:t>
      </w:r>
    </w:p>
    <w:p>
      <w:pPr>
        <w:spacing w:after="0" w:line="144" w:lineRule="exact"/>
        <w:rPr>
          <w:sz w:val="20"/>
          <w:szCs w:val="20"/>
          <w:color w:val="auto"/>
        </w:rPr>
      </w:pPr>
    </w:p>
    <w:p>
      <w:pPr>
        <w:ind w:left="640" w:right="639" w:firstLine="701"/>
        <w:spacing w:after="0" w:line="266" w:lineRule="auto"/>
        <w:rPr>
          <w:sz w:val="20"/>
          <w:szCs w:val="20"/>
          <w:color w:val="auto"/>
        </w:rPr>
      </w:pPr>
      <w:r>
        <w:rPr>
          <w:rFonts w:ascii="Times New Roman" w:cs="Times New Roman" w:eastAsia="Times New Roman" w:hAnsi="Times New Roman"/>
          <w:sz w:val="14"/>
          <w:szCs w:val="14"/>
          <w:color w:val="auto"/>
        </w:rPr>
        <w:t>Our technology comprises a drug-agnostic oral delivery platform, the RaniPill capsule, which is designed to deliver a wide variety of drug substances, including antibodies, proteins, peptides, and oligonucleotides. We have two configurations of the platform</w:t>
      </w:r>
    </w:p>
    <w:p>
      <w:pPr>
        <w:spacing w:after="0" w:line="1" w:lineRule="exact"/>
        <w:rPr>
          <w:sz w:val="20"/>
          <w:szCs w:val="20"/>
          <w:color w:val="auto"/>
        </w:rPr>
      </w:pPr>
    </w:p>
    <w:p>
      <w:pPr>
        <w:ind w:left="640" w:right="699"/>
        <w:spacing w:after="0" w:line="259" w:lineRule="auto"/>
        <w:rPr>
          <w:sz w:val="20"/>
          <w:szCs w:val="20"/>
          <w:color w:val="auto"/>
        </w:rPr>
      </w:pPr>
      <w:r>
        <w:rPr>
          <w:rFonts w:ascii="Times New Roman" w:cs="Times New Roman" w:eastAsia="Times New Roman" w:hAnsi="Times New Roman"/>
          <w:sz w:val="14"/>
          <w:szCs w:val="14"/>
          <w:color w:val="auto"/>
        </w:rPr>
        <w:t>–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multiple different antibodies and peptides. In December 2025, we initiated a Phase 1 clinical trial with the RT-114, a RaniPill HC capsule, containing a bispecific GLP-1/GLP-2 receptor agonist (PG-102) in collaboration with ProGen.</w:t>
      </w:r>
    </w:p>
    <w:p>
      <w:pPr>
        <w:spacing w:after="0" w:line="147" w:lineRule="exact"/>
        <w:rPr>
          <w:sz w:val="20"/>
          <w:szCs w:val="20"/>
          <w:color w:val="auto"/>
        </w:rPr>
      </w:pPr>
    </w:p>
    <w:p>
      <w:pPr>
        <w:ind w:left="640" w:right="1139" w:firstLine="701"/>
        <w:spacing w:after="0" w:line="292" w:lineRule="auto"/>
        <w:rPr>
          <w:sz w:val="20"/>
          <w:szCs w:val="20"/>
          <w:color w:val="auto"/>
        </w:rPr>
      </w:pPr>
      <w:r>
        <w:rPr>
          <w:rFonts w:ascii="Times New Roman" w:cs="Times New Roman" w:eastAsia="Times New Roman" w:hAnsi="Times New Roman"/>
          <w:sz w:val="14"/>
          <w:szCs w:val="14"/>
          <w:color w:val="auto"/>
        </w:rPr>
        <w:t>We believe the RaniPill capsule technology could enable us to deliver most biologics currently on the market with convenient, oral dosing.</w:t>
      </w:r>
    </w:p>
    <w:p>
      <w:pPr>
        <w:spacing w:after="0" w:line="124"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14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25" w:name="page26"/>
    <w:bookmarkEnd w:id="25"/>
    <w:p>
      <w:pPr>
        <w:ind w:left="640" w:right="659" w:firstLine="701"/>
        <w:spacing w:after="0" w:line="259" w:lineRule="auto"/>
        <w:rPr>
          <w:sz w:val="20"/>
          <w:szCs w:val="20"/>
          <w:color w:val="auto"/>
        </w:rPr>
      </w:pPr>
      <w:r>
        <w:rPr>
          <w:rFonts w:ascii="Times New Roman" w:cs="Times New Roman" w:eastAsia="Times New Roman" w:hAnsi="Times New Roman"/>
          <w:sz w:val="14"/>
          <w:szCs w:val="14"/>
          <w:color w:val="auto"/>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RaniPill capsule. Design work, prototyping and pilot manufacturing are performed in house, and we have utilized third-party engineering firms to assist with the design of manufacturing lines that support our supply of the RaniPill capsule.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 manufacturing production lines for the RaniPill capsule.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Clinical Update</w:t>
      </w:r>
    </w:p>
    <w:p>
      <w:pPr>
        <w:spacing w:after="0" w:line="185" w:lineRule="exact"/>
        <w:rPr>
          <w:sz w:val="20"/>
          <w:szCs w:val="20"/>
          <w:color w:val="auto"/>
        </w:rPr>
      </w:pPr>
    </w:p>
    <w:p>
      <w:pPr>
        <w:ind w:left="640" w:right="759" w:firstLine="709"/>
        <w:spacing w:after="0" w:line="274" w:lineRule="auto"/>
        <w:rPr>
          <w:sz w:val="20"/>
          <w:szCs w:val="20"/>
          <w:color w:val="auto"/>
        </w:rPr>
      </w:pPr>
      <w:r>
        <w:rPr>
          <w:rFonts w:ascii="Times New Roman" w:cs="Times New Roman" w:eastAsia="Times New Roman" w:hAnsi="Times New Roman"/>
          <w:sz w:val="14"/>
          <w:szCs w:val="14"/>
          <w:color w:val="auto"/>
        </w:rPr>
        <w:t>In December 2025, we initiated a Phase 1 clinical trial with RT-114, a RaniPill HC capsule containing a bispecific GLP-1/GLP-2 receptor agonist (PG-102) in collaboration with ProGen. The Phase 1 trial will evaluate the safety, tolerability, bioavailability, and pharmacokinetics / pharmacodynamics of single and multiple doses of RT-114 for the treatment of obesity.</w:t>
      </w:r>
    </w:p>
    <w:p>
      <w:pPr>
        <w:spacing w:after="0" w:line="136" w:lineRule="exact"/>
        <w:rPr>
          <w:sz w:val="20"/>
          <w:szCs w:val="20"/>
          <w:color w:val="auto"/>
        </w:rPr>
      </w:pPr>
    </w:p>
    <w:p>
      <w:pPr>
        <w:ind w:left="640" w:right="699" w:firstLine="709"/>
        <w:spacing w:after="0" w:line="268" w:lineRule="auto"/>
        <w:rPr>
          <w:sz w:val="20"/>
          <w:szCs w:val="20"/>
          <w:color w:val="auto"/>
        </w:rPr>
      </w:pPr>
      <w:r>
        <w:rPr>
          <w:rFonts w:ascii="Times New Roman" w:cs="Times New Roman" w:eastAsia="Times New Roman" w:hAnsi="Times New Roman"/>
          <w:sz w:val="14"/>
          <w:szCs w:val="14"/>
          <w:color w:val="auto"/>
        </w:rPr>
        <w:t>The single-center Phase 1 study of RT-114 is being conducted in Australia. The single dose portion of the study is underway and will evaluate the safety, tolerability and bioavailability of RT-114 administered in up to 30 healthy human participants. This part of the trial consists of two cohorts, with one cohort evaluating RT-114 containing 12 mg of PG-102, administered orally as a RaniPill capsule. The second cohort, as the control group, will receive 12 mg of PG-102 via subcutaneous injection.</w:t>
      </w:r>
    </w:p>
    <w:p>
      <w:pPr>
        <w:spacing w:after="0" w:line="140" w:lineRule="exact"/>
        <w:rPr>
          <w:sz w:val="20"/>
          <w:szCs w:val="20"/>
          <w:color w:val="auto"/>
        </w:rPr>
      </w:pPr>
    </w:p>
    <w:p>
      <w:pPr>
        <w:ind w:left="640" w:right="1219" w:firstLine="701"/>
        <w:spacing w:after="0" w:line="292" w:lineRule="auto"/>
        <w:rPr>
          <w:sz w:val="20"/>
          <w:szCs w:val="20"/>
          <w:color w:val="auto"/>
        </w:rPr>
      </w:pPr>
      <w:r>
        <w:rPr>
          <w:rFonts w:ascii="Times New Roman" w:cs="Times New Roman" w:eastAsia="Times New Roman" w:hAnsi="Times New Roman"/>
          <w:sz w:val="14"/>
          <w:szCs w:val="14"/>
          <w:color w:val="auto"/>
        </w:rPr>
        <w:t>The Phase 1 trial of RT-114 is ongoing as of the date of this filing, and we expect to provide an update following completion of the study in 2027.</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Relationship with InCube Labs, LLC</w:t>
      </w:r>
    </w:p>
    <w:p>
      <w:pPr>
        <w:spacing w:after="0" w:line="185" w:lineRule="exact"/>
        <w:rPr>
          <w:sz w:val="20"/>
          <w:szCs w:val="20"/>
          <w:color w:val="auto"/>
        </w:rPr>
      </w:pPr>
    </w:p>
    <w:p>
      <w:pPr>
        <w:ind w:left="640" w:right="659" w:firstLine="701"/>
        <w:spacing w:after="0" w:line="292" w:lineRule="auto"/>
        <w:rPr>
          <w:sz w:val="20"/>
          <w:szCs w:val="20"/>
          <w:color w:val="auto"/>
        </w:rPr>
      </w:pPr>
      <w:r>
        <w:rPr>
          <w:rFonts w:ascii="Times New Roman" w:cs="Times New Roman" w:eastAsia="Times New Roman" w:hAnsi="Times New Roman"/>
          <w:sz w:val="14"/>
          <w:szCs w:val="14"/>
          <w:color w:val="auto"/>
        </w:rPr>
        <w:t>See Note 7 to the condensed consolidated financial statements contained in Part I, Item 1 of this Quarterly Report on Form 10-Q for additional information.</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5" w:lineRule="exact"/>
        <w:rPr>
          <w:sz w:val="20"/>
          <w:szCs w:val="20"/>
          <w:color w:val="auto"/>
        </w:rPr>
      </w:pPr>
    </w:p>
    <w:p>
      <w:pPr>
        <w:ind w:left="640" w:right="779" w:firstLine="701"/>
        <w:spacing w:after="0" w:line="265" w:lineRule="auto"/>
        <w:rPr>
          <w:sz w:val="20"/>
          <w:szCs w:val="20"/>
          <w:color w:val="auto"/>
        </w:rPr>
      </w:pPr>
      <w:r>
        <w:rPr>
          <w:rFonts w:ascii="Times New Roman" w:cs="Times New Roman" w:eastAsia="Times New Roman" w:hAnsi="Times New Roman"/>
          <w:sz w:val="14"/>
          <w:szCs w:val="14"/>
          <w:color w:val="auto"/>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spacing w:after="0" w:line="142"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March 31, 2026 and 2025</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(in thousands):</w:t>
      </w:r>
    </w:p>
    <w:p>
      <w:pPr>
        <w:spacing w:after="0" w:line="178"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9"/>
                <w:szCs w:val="9"/>
                <w:color w:val="auto"/>
              </w:rPr>
            </w:pPr>
          </w:p>
        </w:tc>
        <w:tc>
          <w:tcPr>
            <w:tcW w:w="920" w:type="dxa"/>
            <w:vAlign w:val="bottom"/>
            <w:tcBorders>
              <w:bottom w:val="single" w:sz="8" w:color="auto"/>
            </w:tcBorders>
            <w:gridSpan w:val="3"/>
          </w:tcPr>
          <w:p>
            <w:pPr>
              <w:jc w:val="right"/>
              <w:ind w:right="280"/>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Contract revenue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893.0 %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5,161</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6,570</w:t>
            </w:r>
          </w:p>
        </w:tc>
        <w:tc>
          <w:tcPr>
            <w:tcW w:w="12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5,615</w:t>
            </w:r>
          </w:p>
        </w:tc>
        <w:tc>
          <w:tcPr>
            <w:tcW w:w="12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10,047</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12,185</w:t>
            </w:r>
          </w:p>
        </w:tc>
        <w:tc>
          <w:tcPr>
            <w:tcW w:w="12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(8,339)</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(12,013)</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and other, net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2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89.0 %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(943)</w:t>
            </w:r>
          </w:p>
        </w:tc>
        <w:tc>
          <w:tcPr>
            <w:tcW w:w="9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(8,015)</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(12,738)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8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(982)</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(5,474)</w:t>
            </w:r>
          </w:p>
        </w:tc>
        <w:tc>
          <w:tcPr>
            <w:tcW w:w="9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(82.1)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Rani Therapeutics Holdings, Inc.</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(7,033)</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(7,264)</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-803910</wp:posOffset>
            </wp:positionV>
            <wp:extent cx="4064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-803910</wp:posOffset>
            </wp:positionV>
            <wp:extent cx="4064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-360680</wp:posOffset>
            </wp:positionV>
            <wp:extent cx="4064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-360680</wp:posOffset>
            </wp:positionV>
            <wp:extent cx="4064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-135890</wp:posOffset>
            </wp:positionV>
            <wp:extent cx="4064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-135890</wp:posOffset>
            </wp:positionV>
            <wp:extent cx="4064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-135890</wp:posOffset>
            </wp:positionV>
            <wp:extent cx="4064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*Not meaningful</w:t>
      </w:r>
    </w:p>
    <w:p>
      <w:pPr>
        <w:spacing w:after="0" w:line="2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Contract Revenue</w:t>
      </w:r>
    </w:p>
    <w:p>
      <w:pPr>
        <w:spacing w:after="0" w:line="185" w:lineRule="exact"/>
        <w:rPr>
          <w:sz w:val="20"/>
          <w:szCs w:val="20"/>
          <w:color w:val="auto"/>
        </w:rPr>
      </w:pPr>
    </w:p>
    <w:p>
      <w:pPr>
        <w:ind w:left="640" w:right="719" w:firstLine="701"/>
        <w:spacing w:after="0" w:line="274" w:lineRule="auto"/>
        <w:rPr>
          <w:sz w:val="20"/>
          <w:szCs w:val="20"/>
          <w:color w:val="auto"/>
        </w:rPr>
      </w:pPr>
      <w:r>
        <w:rPr>
          <w:rFonts w:ascii="Times New Roman" w:cs="Times New Roman" w:eastAsia="Times New Roman" w:hAnsi="Times New Roman"/>
          <w:sz w:val="14"/>
          <w:szCs w:val="14"/>
          <w:color w:val="auto"/>
        </w:rPr>
        <w:t>Contract revenue of $1.7 million for the three months ended March 31, 2026, was attributable to Chugai Collaboration and License Agreement entered into in October 2025. There was $0.2 million of contract revenue from evaluation services performed for Chugai for the same period in 2025.</w:t>
      </w:r>
    </w:p>
    <w:p>
      <w:pPr>
        <w:spacing w:after="0" w:line="18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reflects our research and development costs by nature of expense (in thousands):</w:t>
      </w:r>
    </w:p>
    <w:p>
      <w:pPr>
        <w:spacing w:after="0" w:line="178"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4500" w:type="dxa"/>
            <w:vAlign w:val="bottom"/>
          </w:tcPr>
          <w:p>
            <w:pPr>
              <w:spacing w:after="0"/>
              <w:rPr>
                <w:sz w:val="11"/>
                <w:szCs w:val="11"/>
                <w:color w:val="auto"/>
              </w:rPr>
            </w:pPr>
          </w:p>
        </w:tc>
        <w:tc>
          <w:tcPr>
            <w:tcW w:w="2080" w:type="dxa"/>
            <w:vAlign w:val="bottom"/>
            <w:gridSpan w:val="6"/>
          </w:tcPr>
          <w:p>
            <w:pPr>
              <w:ind w:left="2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09"/>
        </w:trPr>
        <w:tc>
          <w:tcPr>
            <w:tcW w:w="4500" w:type="dxa"/>
            <w:vAlign w:val="bottom"/>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34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r>
      <w:tr>
        <w:trPr>
          <w:trHeight w:val="16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Payroll, stock-based compensation and related benefits</w:t>
            </w:r>
          </w:p>
        </w:tc>
        <w:tc>
          <w:tcPr>
            <w:tcW w:w="580" w:type="dxa"/>
            <w:vAlign w:val="bottom"/>
            <w:shd w:val="clear" w:color="auto" w:fill="CFF0FC"/>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4,663</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Facilities, materials and supplies</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tcPr>
          <w:p>
            <w:pPr>
              <w:spacing w:after="0"/>
              <w:rPr>
                <w:sz w:val="14"/>
                <w:szCs w:val="14"/>
                <w:color w:val="auto"/>
              </w:rPr>
            </w:pPr>
          </w:p>
        </w:tc>
      </w:tr>
      <w:tr>
        <w:trPr>
          <w:trHeight w:val="172"/>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Third-party services</w:t>
            </w:r>
          </w:p>
        </w:tc>
        <w:tc>
          <w:tcPr>
            <w:tcW w:w="5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r>
      <w:tr>
        <w:trPr>
          <w:trHeight w:val="203"/>
        </w:trPr>
        <w:tc>
          <w:tcPr>
            <w:tcW w:w="4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bottom w:val="single" w:sz="8" w:color="auto"/>
            </w:tcBorders>
            <w:shd w:val="clear" w:color="auto" w:fill="CFF0FC"/>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5,161</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6,570</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-19685</wp:posOffset>
            </wp:positionV>
            <wp:extent cx="4064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-6350</wp:posOffset>
            </wp:positionV>
            <wp:extent cx="4064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759" w:firstLine="701"/>
        <w:spacing w:after="0" w:line="274" w:lineRule="auto"/>
        <w:rPr>
          <w:sz w:val="20"/>
          <w:szCs w:val="20"/>
          <w:color w:val="auto"/>
        </w:rPr>
      </w:pPr>
      <w:r>
        <w:rPr>
          <w:rFonts w:ascii="Times New Roman" w:cs="Times New Roman" w:eastAsia="Times New Roman" w:hAnsi="Times New Roman"/>
          <w:sz w:val="14"/>
          <w:szCs w:val="14"/>
          <w:color w:val="auto"/>
        </w:rPr>
        <w:t>The decrease of $1.4 million in research and development expenses in the three months ended March 31, 2026, as compared to the same period in 2025, was primarily attributed to lower compensation costs of $1.1 million, $0.2 million reduction in facilities, materials and supplies and $0.1 million decrease in third-party services.</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5" w:lineRule="exact"/>
        <w:rPr>
          <w:sz w:val="20"/>
          <w:szCs w:val="20"/>
          <w:color w:val="auto"/>
        </w:rPr>
      </w:pPr>
    </w:p>
    <w:p>
      <w:pPr>
        <w:ind w:left="640" w:right="699" w:firstLine="701"/>
        <w:spacing w:after="0" w:line="274" w:lineRule="auto"/>
        <w:rPr>
          <w:sz w:val="20"/>
          <w:szCs w:val="20"/>
          <w:color w:val="auto"/>
        </w:rPr>
      </w:pPr>
      <w:r>
        <w:rPr>
          <w:rFonts w:ascii="Times New Roman" w:cs="Times New Roman" w:eastAsia="Times New Roman" w:hAnsi="Times New Roman"/>
          <w:sz w:val="14"/>
          <w:szCs w:val="14"/>
          <w:color w:val="auto"/>
        </w:rPr>
        <w:t>The decrease of $0.7 million in general and administrative expenses in the three months ended March 31, 2026, as compared to the same period in 2025, was primarily attributed to lower compensation costs of $1.2 million and $0.1 million reduction in facilities, materials and supplies, offset by an increase in third-party services of $0.6 million.</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85" w:lineRule="exact"/>
        <w:rPr>
          <w:sz w:val="20"/>
          <w:szCs w:val="20"/>
          <w:color w:val="auto"/>
        </w:rPr>
      </w:pPr>
    </w:p>
    <w:p>
      <w:pPr>
        <w:ind w:left="640" w:right="759" w:firstLine="701"/>
        <w:spacing w:after="0" w:line="274" w:lineRule="auto"/>
        <w:rPr>
          <w:sz w:val="20"/>
          <w:szCs w:val="20"/>
          <w:color w:val="auto"/>
        </w:rPr>
      </w:pPr>
      <w:r>
        <w:rPr>
          <w:rFonts w:ascii="Times New Roman" w:cs="Times New Roman" w:eastAsia="Times New Roman" w:hAnsi="Times New Roman"/>
          <w:sz w:val="14"/>
          <w:szCs w:val="14"/>
          <w:color w:val="auto"/>
        </w:rPr>
        <w:t>The increase of $1.1 million in other income (expense), net, in the three months ended March 31, 2026, as compared to the same period in 2025, was primarily attributed to an increase in interest income of $0.2 million from our investment in marketable securities and a decrease in interest expense of $0.9 million.</w:t>
      </w:r>
    </w:p>
    <w:p>
      <w:pPr>
        <w:spacing w:after="0" w:line="13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1"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87" w:lineRule="exact"/>
        <w:rPr>
          <w:sz w:val="20"/>
          <w:szCs w:val="20"/>
          <w:color w:val="auto"/>
        </w:rPr>
      </w:pPr>
    </w:p>
    <w:p>
      <w:pPr>
        <w:ind w:left="640" w:right="719" w:firstLine="701"/>
        <w:spacing w:after="0" w:line="263" w:lineRule="auto"/>
        <w:rPr>
          <w:sz w:val="20"/>
          <w:szCs w:val="20"/>
          <w:color w:val="auto"/>
        </w:rPr>
      </w:pPr>
      <w:r>
        <w:rPr>
          <w:rFonts w:ascii="Times New Roman" w:cs="Times New Roman" w:eastAsia="Times New Roman" w:hAnsi="Times New Roman"/>
          <w:sz w:val="14"/>
          <w:szCs w:val="14"/>
          <w:color w:val="auto"/>
        </w:rPr>
        <w:t>We have incurred recurring losses and negative cash flows from operations since inception, including net loss of $8.0 million for the three months ended March 31, 2026. As of March 31, 2026, we had an accumulated deficit of $139.6 million and for three months ended March 31, 2026, had negative cash flows from operations of $6.5 million. As of March 31, 2026, our cash, cash equivalents and marketable securities totaled $43.4 million. We expect to continue to incur losses for the foreseeable future, and our net losses may fluctuate significantly from period to period, depending on the timing of and expenditures on our planned research and development activities.</w:t>
      </w:r>
    </w:p>
    <w:p>
      <w:pPr>
        <w:spacing w:after="0" w:line="144" w:lineRule="exact"/>
        <w:rPr>
          <w:sz w:val="20"/>
          <w:szCs w:val="20"/>
          <w:color w:val="auto"/>
        </w:rPr>
      </w:pPr>
    </w:p>
    <w:p>
      <w:pPr>
        <w:ind w:left="640" w:right="1059" w:firstLine="701"/>
        <w:spacing w:after="0" w:line="274" w:lineRule="auto"/>
        <w:rPr>
          <w:sz w:val="20"/>
          <w:szCs w:val="20"/>
          <w:color w:val="auto"/>
        </w:rPr>
      </w:pPr>
      <w:r>
        <w:rPr>
          <w:rFonts w:ascii="Times New Roman" w:cs="Times New Roman" w:eastAsia="Times New Roman" w:hAnsi="Times New Roman"/>
          <w:sz w:val="14"/>
          <w:szCs w:val="14"/>
          <w:color w:val="auto"/>
        </w:rPr>
        <w:t>Based on our current operating plans and assumptions, we believe that our cash, cash equivalents, and marketable securities will be sufficient to fund our operations through at least twelve months from the date that our condensed consolidated financial statements for the three months ended March 31, 2026 are issued.</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87" w:lineRule="exact"/>
        <w:rPr>
          <w:sz w:val="20"/>
          <w:szCs w:val="20"/>
          <w:color w:val="auto"/>
        </w:rPr>
      </w:pPr>
    </w:p>
    <w:p>
      <w:pPr>
        <w:ind w:left="640" w:right="1079" w:firstLine="701"/>
        <w:spacing w:after="0" w:line="274" w:lineRule="auto"/>
        <w:rPr>
          <w:sz w:val="20"/>
          <w:szCs w:val="20"/>
          <w:color w:val="auto"/>
        </w:rPr>
      </w:pPr>
      <w:r>
        <w:rPr>
          <w:rFonts w:ascii="Times New Roman" w:cs="Times New Roman" w:eastAsia="Times New Roman" w:hAnsi="Times New Roman"/>
          <w:sz w:val="14"/>
          <w:szCs w:val="14"/>
          <w:color w:val="auto"/>
        </w:rPr>
        <w:t>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technology and to commercialize any of our product candidates.</w:t>
      </w:r>
    </w:p>
    <w:p>
      <w:pPr>
        <w:spacing w:after="0" w:line="136" w:lineRule="exact"/>
        <w:rPr>
          <w:sz w:val="20"/>
          <w:szCs w:val="20"/>
          <w:color w:val="auto"/>
        </w:rPr>
      </w:pPr>
    </w:p>
    <w:p>
      <w:pPr>
        <w:ind w:left="640" w:right="759" w:firstLine="701"/>
        <w:spacing w:after="0" w:line="262" w:lineRule="auto"/>
        <w:rPr>
          <w:sz w:val="20"/>
          <w:szCs w:val="20"/>
          <w:color w:val="auto"/>
        </w:rPr>
      </w:pPr>
      <w:r>
        <w:rPr>
          <w:rFonts w:ascii="Times New Roman" w:cs="Times New Roman" w:eastAsia="Times New Roman" w:hAnsi="Times New Roman"/>
          <w:sz w:val="14"/>
          <w:szCs w:val="14"/>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technology and our product candidates.</w:t>
      </w:r>
    </w:p>
    <w:p>
      <w:pPr>
        <w:spacing w:after="0" w:line="144" w:lineRule="exact"/>
        <w:rPr>
          <w:sz w:val="20"/>
          <w:szCs w:val="20"/>
          <w:color w:val="auto"/>
        </w:rPr>
      </w:pPr>
    </w:p>
    <w:p>
      <w:pPr>
        <w:ind w:left="640" w:right="719" w:firstLine="701"/>
        <w:spacing w:after="0" w:line="265" w:lineRule="auto"/>
        <w:rPr>
          <w:sz w:val="20"/>
          <w:szCs w:val="20"/>
          <w:color w:val="auto"/>
        </w:rPr>
      </w:pPr>
      <w:r>
        <w:rPr>
          <w:rFonts w:ascii="Times New Roman" w:cs="Times New Roman" w:eastAsia="Times New Roman" w:hAnsi="Times New Roman"/>
          <w:sz w:val="14"/>
          <w:szCs w:val="14"/>
          <w:color w:val="auto"/>
        </w:rPr>
        <w:t>We may seek to raise capital through equity offerings or debt financings, which may include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56" w:lineRule="exact"/>
        <w:rPr>
          <w:sz w:val="20"/>
          <w:szCs w:val="20"/>
          <w:color w:val="auto"/>
        </w:rPr>
      </w:pPr>
    </w:p>
    <w:p>
      <w:pPr>
        <w:ind w:left="1680" w:hanging="341"/>
        <w:spacing w:after="0"/>
        <w:tabs>
          <w:tab w:leader="none" w:pos="1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trial design, results of and timing of our preclinical studies and clinical trials;</w:t>
      </w:r>
    </w:p>
    <w:p>
      <w:pPr>
        <w:spacing w:after="0" w:line="96" w:lineRule="exact"/>
        <w:rPr>
          <w:rFonts w:ascii="Times New Roman" w:cs="Times New Roman" w:eastAsia="Times New Roman" w:hAnsi="Times New Roman"/>
          <w:sz w:val="14"/>
          <w:szCs w:val="14"/>
          <w:color w:val="auto"/>
        </w:rPr>
      </w:pPr>
    </w:p>
    <w:p>
      <w:pPr>
        <w:ind w:left="1680" w:right="1119" w:hanging="341"/>
        <w:spacing w:after="0" w:line="292" w:lineRule="auto"/>
        <w:tabs>
          <w:tab w:leader="none" w:pos="1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current collaborations, including those with Chugai and ProGen, and our ability to receive expected milestones under these collaborations;</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and results of our research pipeline;</w:t>
      </w:r>
    </w:p>
    <w:p>
      <w:pPr>
        <w:spacing w:after="0" w:line="96" w:lineRule="exact"/>
        <w:rPr>
          <w:rFonts w:ascii="Times New Roman" w:cs="Times New Roman" w:eastAsia="Times New Roman" w:hAnsi="Times New Roman"/>
          <w:sz w:val="14"/>
          <w:szCs w:val="14"/>
          <w:color w:val="auto"/>
        </w:rPr>
      </w:pPr>
    </w:p>
    <w:p>
      <w:pPr>
        <w:ind w:left="1680" w:right="659" w:hanging="341"/>
        <w:spacing w:after="0" w:line="268" w:lineRule="auto"/>
        <w:tabs>
          <w:tab w:leader="none" w:pos="1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technology for various indications;</w:t>
      </w:r>
    </w:p>
    <w:p>
      <w:pPr>
        <w:spacing w:after="0" w:line="54"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seeking and obtaining FDA and any other regulatory approvals;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product candidates that we pursue;</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sufficient quantities of the RaniPill capsules;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expand our research and development activities;</w:t>
      </w:r>
    </w:p>
    <w:p>
      <w:pPr>
        <w:spacing w:after="0" w:line="96" w:lineRule="exact"/>
        <w:rPr>
          <w:rFonts w:ascii="Times New Roman" w:cs="Times New Roman" w:eastAsia="Times New Roman" w:hAnsi="Times New Roman"/>
          <w:sz w:val="14"/>
          <w:szCs w:val="14"/>
          <w:color w:val="auto"/>
        </w:rPr>
      </w:pPr>
    </w:p>
    <w:p>
      <w:pPr>
        <w:ind w:left="1680" w:right="919" w:hanging="341"/>
        <w:spacing w:after="0" w:line="292" w:lineRule="auto"/>
        <w:tabs>
          <w:tab w:leader="none" w:pos="1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manufacturing our product candidates, including establishing commercial supplies and sales, marketing, and distribution capabilities;</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securing and establishing commercial infrastructure;</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acquiring, licensing, or investing in businesses, product candidates, and technologies;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28" w:name="page29"/>
    <w:bookmarkEnd w:id="28"/>
    <w:p>
      <w:pPr>
        <w:ind w:left="1680" w:right="659" w:hanging="341"/>
        <w:spacing w:after="0" w:line="274" w:lineRule="auto"/>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50"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and ability to retain key management and hire scientific, technical, business, and engineering personnel;</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drugs and product candidates and other market developments;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amount of sales from our potential products, if approved;</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strategic collaborations;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implement additional internal systems and infrastructure, including financial and reporting systems;</w:t>
      </w:r>
    </w:p>
    <w:p>
      <w:pPr>
        <w:spacing w:after="0" w:line="182"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data losses or other disruptions affecting our information systems;</w:t>
      </w:r>
    </w:p>
    <w:p>
      <w:pPr>
        <w:spacing w:after="0" w:line="182"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savings from any restructuring plans or cost-containment measures we may implement; and</w:t>
      </w:r>
    </w:p>
    <w:p>
      <w:pPr>
        <w:spacing w:after="0" w:line="96" w:lineRule="exact"/>
        <w:rPr>
          <w:rFonts w:ascii="Times New Roman" w:cs="Times New Roman" w:eastAsia="Times New Roman" w:hAnsi="Times New Roman"/>
          <w:sz w:val="14"/>
          <w:szCs w:val="14"/>
          <w:color w:val="auto"/>
        </w:rPr>
      </w:pPr>
    </w:p>
    <w:p>
      <w:pPr>
        <w:ind w:left="1680" w:right="839" w:hanging="341"/>
        <w:spacing w:after="0" w:line="292" w:lineRule="auto"/>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and other terms, timing of and success of any collaboration, licensing, or other arrangements which we may enter in the future.</w:t>
      </w:r>
    </w:p>
    <w:p>
      <w:pPr>
        <w:spacing w:after="0" w:line="124" w:lineRule="exact"/>
        <w:rPr>
          <w:sz w:val="20"/>
          <w:szCs w:val="20"/>
          <w:color w:val="auto"/>
        </w:rPr>
      </w:pPr>
    </w:p>
    <w:p>
      <w:pPr>
        <w:ind w:left="640" w:right="659" w:firstLine="701"/>
        <w:spacing w:after="0" w:line="259" w:lineRule="auto"/>
        <w:rPr>
          <w:sz w:val="20"/>
          <w:szCs w:val="20"/>
          <w:color w:val="auto"/>
        </w:rPr>
      </w:pPr>
      <w:r>
        <w:rPr>
          <w:rFonts w:ascii="Times New Roman" w:cs="Times New Roman" w:eastAsia="Times New Roman" w:hAnsi="Times New Roman"/>
          <w:sz w:val="14"/>
          <w:szCs w:val="14"/>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in the U.S. and worldwide resulting from the effects of ongoing military conflicts, inflationary pressures, potential future bank failures, or otherwise. In this regard, the ongoing Russia-Ukraine military conflict and the ongoing military conflict involving the U.S., Israel and Iran have created extreme volatility in the global credit and financial markets and have had and may continue to have further global economic consequences, including continued disruptions of the global supply chain and energy markets, which could continue to drive inflationary pressures and increase global recession risk.</w:t>
      </w:r>
    </w:p>
    <w:p>
      <w:pPr>
        <w:spacing w:after="0" w:line="1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cash, cash equivalents and marketable securities:</w:t>
      </w:r>
    </w:p>
    <w:p>
      <w:pPr>
        <w:spacing w:after="0" w:line="221"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09"/>
        </w:trPr>
        <w:tc>
          <w:tcPr>
            <w:tcW w:w="45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294"/>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27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r>
      <w:tr>
        <w:trPr>
          <w:trHeight w:val="16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9,644</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18,618</w:t>
            </w:r>
          </w:p>
        </w:tc>
        <w:tc>
          <w:tcPr>
            <w:tcW w:w="80" w:type="dxa"/>
            <w:vAlign w:val="bottom"/>
            <w:shd w:val="clear" w:color="auto" w:fill="CFF0FC"/>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33,759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31,091</w:t>
            </w:r>
          </w:p>
        </w:tc>
        <w:tc>
          <w:tcPr>
            <w:tcW w:w="80" w:type="dxa"/>
            <w:vAlign w:val="bottom"/>
          </w:tcPr>
          <w:p>
            <w:pPr>
              <w:spacing w:after="0"/>
              <w:rPr>
                <w:sz w:val="14"/>
                <w:szCs w:val="14"/>
                <w:color w:val="auto"/>
              </w:rPr>
            </w:pPr>
          </w:p>
        </w:tc>
      </w:tr>
      <w:tr>
        <w:trPr>
          <w:trHeight w:val="203"/>
        </w:trPr>
        <w:tc>
          <w:tcPr>
            <w:tcW w:w="4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cash, cash equivalents and marketable securities</w:t>
            </w:r>
          </w:p>
        </w:tc>
        <w:tc>
          <w:tcPr>
            <w:tcW w:w="14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43,403</w:t>
            </w:r>
          </w:p>
        </w:tc>
        <w:tc>
          <w:tcPr>
            <w:tcW w:w="16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49,709</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-19685</wp:posOffset>
            </wp:positionV>
            <wp:extent cx="4064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-6350</wp:posOffset>
            </wp:positionV>
            <wp:extent cx="4064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(in thousands):</w:t>
      </w:r>
    </w:p>
    <w:p>
      <w:pPr>
        <w:spacing w:after="0" w:line="178"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29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(6,497)</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(8,149)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in)/provided by investing activities</w:t>
            </w:r>
          </w:p>
        </w:tc>
        <w:tc>
          <w:tcPr>
            <w:tcW w:w="14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(2,450)</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18,229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(3,731)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5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Net (decrease)/increase in cash, cash equivalents and restricted cash</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(8,974)</w:t>
            </w:r>
          </w:p>
        </w:tc>
        <w:tc>
          <w:tcPr>
            <w:tcW w:w="200" w:type="dxa"/>
            <w:vAlign w:val="bottom"/>
            <w:vMerge w:val="restart"/>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6,349</w:t>
            </w:r>
          </w:p>
        </w:tc>
        <w:tc>
          <w:tcPr>
            <w:tcW w:w="0" w:type="dxa"/>
            <w:vAlign w:val="bottom"/>
          </w:tcPr>
          <w:p>
            <w:pPr>
              <w:spacing w:after="0"/>
              <w:rPr>
                <w:sz w:val="1"/>
                <w:szCs w:val="1"/>
                <w:color w:val="auto"/>
              </w:rPr>
            </w:pPr>
          </w:p>
        </w:tc>
      </w:tr>
      <w:tr>
        <w:trPr>
          <w:trHeight w:val="154"/>
        </w:trPr>
        <w:tc>
          <w:tcPr>
            <w:tcW w:w="45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equivalents</w:t>
            </w:r>
          </w:p>
        </w:tc>
        <w:tc>
          <w:tcPr>
            <w:tcW w:w="1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-224155</wp:posOffset>
            </wp:positionV>
            <wp:extent cx="4064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-224155</wp:posOffset>
            </wp:positionV>
            <wp:extent cx="4064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30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20"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87" w:lineRule="exact"/>
        <w:rPr>
          <w:sz w:val="20"/>
          <w:szCs w:val="20"/>
          <w:color w:val="auto"/>
        </w:rPr>
      </w:pPr>
    </w:p>
    <w:p>
      <w:pPr>
        <w:ind w:left="640" w:right="699" w:firstLine="701"/>
        <w:spacing w:after="0" w:line="262" w:lineRule="auto"/>
        <w:rPr>
          <w:sz w:val="20"/>
          <w:szCs w:val="20"/>
          <w:color w:val="auto"/>
        </w:rPr>
      </w:pPr>
      <w:r>
        <w:rPr>
          <w:rFonts w:ascii="Times New Roman" w:cs="Times New Roman" w:eastAsia="Times New Roman" w:hAnsi="Times New Roman"/>
          <w:sz w:val="14"/>
          <w:szCs w:val="14"/>
          <w:color w:val="auto"/>
        </w:rPr>
        <w:t>Net cash used in operating activities for the three months ended March 31, 2026 was $6.5 million, which was primarily attributable to a net loss of $8.0 million and net accretion and amortization of investments in marketable securities of $0.2 million, partially offset by stock-based compensation expense of $2.1 million, depreciation and amortization expense of $0.2 million and, non-cash lease expense of $0.5 million. Additionally, there was an increase in accounts payable of $0.5 million, an increase in accrued expenses and other current liabilities of $0.7 million, a decrease in deferred revenue of $1.7 million, an increase in prepaid expenses and other current assets of $0.1 million, and a decrease in operating lease liabilities of $0.5 million for the three months ended March 31, 2026.</w:t>
      </w:r>
    </w:p>
    <w:p>
      <w:pPr>
        <w:spacing w:after="0" w:line="144" w:lineRule="exact"/>
        <w:rPr>
          <w:sz w:val="20"/>
          <w:szCs w:val="20"/>
          <w:color w:val="auto"/>
        </w:rPr>
      </w:pPr>
    </w:p>
    <w:p>
      <w:pPr>
        <w:ind w:left="640" w:right="739" w:firstLine="701"/>
        <w:spacing w:after="0" w:line="263" w:lineRule="auto"/>
        <w:rPr>
          <w:sz w:val="20"/>
          <w:szCs w:val="20"/>
          <w:color w:val="auto"/>
        </w:rPr>
      </w:pPr>
      <w:r>
        <w:rPr>
          <w:rFonts w:ascii="Times New Roman" w:cs="Times New Roman" w:eastAsia="Times New Roman" w:hAnsi="Times New Roman"/>
          <w:sz w:val="14"/>
          <w:szCs w:val="14"/>
          <w:color w:val="auto"/>
        </w:rPr>
        <w:t>Net cash used in operating activities for the three months ended March 31, 2025 was $8.1 million, which was primarily attributable to a net loss of $12.7 million and net accretion and amortization of investments in marketable securities of $0.2 million, partially offset by the stock-based compensation expense of $3.9 million and depreciation and amortization expense of $0.3 million. Additionally, there was an increase in accounts receivable of $0.6 million, accounts payable of $0.2 million, accrued expenses and other current liabilities of $0.2 million, and a decrease in contract assets of $0.4 million and prepaid expenses and other current assets of $0.3 million for the three months ended March 31, 2025.</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87" w:lineRule="exact"/>
        <w:rPr>
          <w:sz w:val="20"/>
          <w:szCs w:val="20"/>
          <w:color w:val="auto"/>
        </w:rPr>
      </w:pPr>
    </w:p>
    <w:p>
      <w:pPr>
        <w:jc w:val="both"/>
        <w:ind w:left="640" w:right="1079" w:firstLine="701"/>
        <w:spacing w:after="0" w:line="274" w:lineRule="auto"/>
        <w:rPr>
          <w:sz w:val="20"/>
          <w:szCs w:val="20"/>
          <w:color w:val="auto"/>
        </w:rPr>
      </w:pPr>
      <w:r>
        <w:rPr>
          <w:rFonts w:ascii="Times New Roman" w:cs="Times New Roman" w:eastAsia="Times New Roman" w:hAnsi="Times New Roman"/>
          <w:sz w:val="14"/>
          <w:szCs w:val="14"/>
          <w:color w:val="auto"/>
        </w:rPr>
        <w:t>For the three months ended March 31, 2026, net cash used in investing activities was $2.5 million, which primarily consisted of $21.0 million in proceeds from maturities of marketable securities, partially offset by $23.5 million in purchases of marketable securities.</w:t>
      </w:r>
    </w:p>
    <w:p>
      <w:pPr>
        <w:spacing w:after="0" w:line="136" w:lineRule="exact"/>
        <w:rPr>
          <w:sz w:val="20"/>
          <w:szCs w:val="20"/>
          <w:color w:val="auto"/>
        </w:rPr>
      </w:pPr>
    </w:p>
    <w:p>
      <w:pPr>
        <w:ind w:left="640" w:right="739" w:firstLine="701"/>
        <w:spacing w:after="0" w:line="274" w:lineRule="auto"/>
        <w:rPr>
          <w:sz w:val="20"/>
          <w:szCs w:val="20"/>
          <w:color w:val="auto"/>
        </w:rPr>
      </w:pPr>
      <w:r>
        <w:rPr>
          <w:rFonts w:ascii="Times New Roman" w:cs="Times New Roman" w:eastAsia="Times New Roman" w:hAnsi="Times New Roman"/>
          <w:sz w:val="14"/>
          <w:szCs w:val="14"/>
          <w:color w:val="auto"/>
        </w:rPr>
        <w:t>For the three months ended March 31, 2025, net cash provided by investing activities was $18.2 million, which primarily consisted of $21.0 million in proceeds from maturities of marketable securities, partially offset by $2.7 million in purchases of marketable securities and $0.1 million in purchases of property and equipment.</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For the three months ended March 31, 2026, net cash used in financing activities was de minimis.</w:t>
      </w:r>
    </w:p>
    <w:p>
      <w:pPr>
        <w:spacing w:after="0" w:line="183" w:lineRule="exact"/>
        <w:rPr>
          <w:sz w:val="20"/>
          <w:szCs w:val="20"/>
          <w:color w:val="auto"/>
        </w:rPr>
      </w:pPr>
    </w:p>
    <w:p>
      <w:pPr>
        <w:ind w:left="640" w:right="1079" w:firstLine="701"/>
        <w:spacing w:after="0" w:line="292" w:lineRule="auto"/>
        <w:rPr>
          <w:sz w:val="20"/>
          <w:szCs w:val="20"/>
          <w:color w:val="auto"/>
        </w:rPr>
      </w:pPr>
      <w:r>
        <w:rPr>
          <w:rFonts w:ascii="Times New Roman" w:cs="Times New Roman" w:eastAsia="Times New Roman" w:hAnsi="Times New Roman"/>
          <w:sz w:val="14"/>
          <w:szCs w:val="14"/>
          <w:color w:val="auto"/>
        </w:rPr>
        <w:t>For the three months ended March 31, 2025, net cash used in financing activities was $3.7 million, which primarily consisted of repayment of debt of $3.8 million.</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Other Commitments</w:t>
      </w:r>
    </w:p>
    <w:p>
      <w:pPr>
        <w:spacing w:after="0" w:line="187" w:lineRule="exact"/>
        <w:rPr>
          <w:sz w:val="20"/>
          <w:szCs w:val="20"/>
          <w:color w:val="auto"/>
        </w:rPr>
      </w:pPr>
    </w:p>
    <w:p>
      <w:pPr>
        <w:ind w:left="640" w:right="1159" w:firstLine="701"/>
        <w:spacing w:after="0" w:line="292" w:lineRule="auto"/>
        <w:rPr>
          <w:sz w:val="20"/>
          <w:szCs w:val="20"/>
          <w:color w:val="auto"/>
        </w:rPr>
      </w:pPr>
      <w:r>
        <w:rPr>
          <w:rFonts w:ascii="Times New Roman" w:cs="Times New Roman" w:eastAsia="Times New Roman" w:hAnsi="Times New Roman"/>
          <w:sz w:val="14"/>
          <w:szCs w:val="14"/>
          <w:color w:val="auto"/>
        </w:rPr>
        <w:t>As of March 31, 2026, there have been no material changes to our contractual obligations and other commitments compared to those disclosed in our Annual Report on Form 10-K.</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contractual obligations and commitments as of March 31, 2026 (in thousands):</w:t>
      </w:r>
    </w:p>
    <w:p>
      <w:pPr>
        <w:spacing w:after="0" w:line="92" w:lineRule="exact"/>
        <w:rPr>
          <w:sz w:val="20"/>
          <w:szCs w:val="20"/>
          <w:color w:val="auto"/>
        </w:rPr>
      </w:pPr>
    </w:p>
    <w:tbl>
      <w:tblPr>
        <w:tblLayout w:type="fixed"/>
        <w:tblInd w:w="1220" w:type="dxa"/>
        <w:tblCellMar>
          <w:top w:w="0" w:type="dxa"/>
          <w:left w:w="0" w:type="dxa"/>
          <w:bottom w:w="0" w:type="dxa"/>
          <w:right w:w="0" w:type="dxa"/>
        </w:tblCellMar>
      </w:tblPr>
      <w:tr>
        <w:trPr>
          <w:trHeight w:val="137"/>
        </w:trPr>
        <w:tc>
          <w:tcPr>
            <w:tcW w:w="1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1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2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center"/>
              <w:ind w:right="136"/>
              <w:spacing w:after="0" w:line="109" w:lineRule="exact"/>
              <w:rPr>
                <w:sz w:val="20"/>
                <w:szCs w:val="20"/>
                <w:color w:val="auto"/>
              </w:rPr>
            </w:pPr>
            <w:r>
              <w:rPr>
                <w:rFonts w:ascii="Times New Roman" w:cs="Times New Roman" w:eastAsia="Times New Roman" w:hAnsi="Times New Roman"/>
                <w:sz w:val="11"/>
                <w:szCs w:val="11"/>
                <w:b w:val="1"/>
                <w:bCs w:val="1"/>
                <w:color w:val="auto"/>
              </w:rPr>
              <w:t>Short-term</w:t>
            </w: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236"/>
              <w:spacing w:after="0" w:line="109" w:lineRule="exact"/>
              <w:rPr>
                <w:sz w:val="20"/>
                <w:szCs w:val="20"/>
                <w:color w:val="auto"/>
              </w:rPr>
            </w:pPr>
            <w:r>
              <w:rPr>
                <w:rFonts w:ascii="Times New Roman" w:cs="Times New Roman" w:eastAsia="Times New Roman" w:hAnsi="Times New Roman"/>
                <w:sz w:val="11"/>
                <w:szCs w:val="11"/>
                <w:b w:val="1"/>
                <w:bCs w:val="1"/>
                <w:color w:val="auto"/>
              </w:rPr>
              <w:t>Long-term</w:t>
            </w:r>
          </w:p>
        </w:tc>
        <w:tc>
          <w:tcPr>
            <w:tcW w:w="80" w:type="dxa"/>
            <w:vAlign w:val="bottom"/>
          </w:tcPr>
          <w:p>
            <w:pPr>
              <w:spacing w:after="0"/>
              <w:rPr>
                <w:sz w:val="9"/>
                <w:szCs w:val="9"/>
                <w:color w:val="auto"/>
              </w:rPr>
            </w:pPr>
          </w:p>
        </w:tc>
      </w:tr>
      <w:tr>
        <w:trPr>
          <w:trHeight w:val="163"/>
        </w:trPr>
        <w:tc>
          <w:tcPr>
            <w:tcW w:w="194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4"/>
                <w:szCs w:val="14"/>
                <w:color w:val="auto"/>
              </w:rPr>
              <w:t xml:space="preserve">Operating leases </w:t>
            </w:r>
            <w:r>
              <w:rPr>
                <w:rFonts w:ascii="Times New Roman" w:cs="Times New Roman" w:eastAsia="Times New Roman" w:hAnsi="Times New Roman"/>
                <w:sz w:val="18"/>
                <w:szCs w:val="18"/>
                <w:color w:val="auto"/>
                <w:vertAlign w:val="subscript"/>
              </w:rPr>
              <w:t>(1)</w:t>
            </w:r>
          </w:p>
        </w:tc>
        <w:tc>
          <w:tcPr>
            <w:tcW w:w="1600" w:type="dxa"/>
            <w:vAlign w:val="bottom"/>
            <w:gridSpan w:val="2"/>
            <w:shd w:val="clear" w:color="auto" w:fill="CFF0FC"/>
          </w:tcPr>
          <w:p>
            <w:pPr>
              <w:jc w:val="right"/>
              <w:ind w:right="60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3,941</w:t>
            </w:r>
          </w:p>
        </w:tc>
        <w:tc>
          <w:tcPr>
            <w:tcW w:w="36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8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109220</wp:posOffset>
            </wp:positionV>
            <wp:extent cx="490982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pacing w:after="0" w:line="159" w:lineRule="exact"/>
        <w:rPr>
          <w:sz w:val="20"/>
          <w:szCs w:val="20"/>
          <w:color w:val="auto"/>
        </w:rPr>
      </w:pPr>
    </w:p>
    <w:p>
      <w:pPr>
        <w:ind w:left="640" w:right="759" w:hanging="2"/>
        <w:spacing w:after="0" w:line="292" w:lineRule="auto"/>
        <w:tabs>
          <w:tab w:leader="none" w:pos="84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operating lease payments. See Note 8 to the condensed consolidated financial statements contained in Part I, Item 1 of this Quarterly Report on Form 10-Q for additional information.</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85" w:lineRule="exact"/>
        <w:rPr>
          <w:sz w:val="20"/>
          <w:szCs w:val="20"/>
          <w:color w:val="auto"/>
        </w:rPr>
      </w:pPr>
    </w:p>
    <w:p>
      <w:pPr>
        <w:ind w:left="640" w:right="759" w:firstLine="701"/>
        <w:spacing w:after="0" w:line="263" w:lineRule="auto"/>
        <w:rPr>
          <w:sz w:val="20"/>
          <w:szCs w:val="20"/>
          <w:color w:val="auto"/>
        </w:rPr>
      </w:pPr>
      <w:r>
        <w:rPr>
          <w:rFonts w:ascii="Times New Roman" w:cs="Times New Roman" w:eastAsia="Times New Roman" w:hAnsi="Times New Roman"/>
          <w:sz w:val="14"/>
          <w:szCs w:val="14"/>
          <w:color w:val="auto"/>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We base our estimates on our own historical experience and other assumptions that we believe are reasonable after taking account of our circumstances and expectations for the future based on available information. To the extent that there are material differences between these estimates and actual results, our financial condition or results of operations would be affected.</w:t>
      </w:r>
    </w:p>
    <w:p>
      <w:pPr>
        <w:spacing w:after="0" w:line="144" w:lineRule="exact"/>
        <w:rPr>
          <w:sz w:val="20"/>
          <w:szCs w:val="20"/>
          <w:color w:val="auto"/>
        </w:rPr>
      </w:pPr>
    </w:p>
    <w:p>
      <w:pPr>
        <w:ind w:left="640" w:right="819" w:firstLine="701"/>
        <w:spacing w:after="0" w:line="292" w:lineRule="auto"/>
        <w:rPr>
          <w:sz w:val="20"/>
          <w:szCs w:val="20"/>
          <w:color w:val="auto"/>
        </w:rPr>
      </w:pPr>
      <w:r>
        <w:rPr>
          <w:rFonts w:ascii="Times New Roman" w:cs="Times New Roman" w:eastAsia="Times New Roman" w:hAnsi="Times New Roman"/>
          <w:sz w:val="14"/>
          <w:szCs w:val="14"/>
          <w:color w:val="auto"/>
        </w:rPr>
        <w:t>We consider an accounting estimate to be critical if: (i) the accounting estimate requires us to make assumptions about matters that were highly uncertain at the time the accounting estimate was made, and (ii) changes in the estimate that are reasonably</w:t>
      </w:r>
    </w:p>
    <w:p>
      <w:pPr>
        <w:spacing w:after="0" w:line="12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1" w:right="1440" w:bottom="1440" w:gutter="0" w:footer="0" w:header="0"/>
        </w:sectPr>
      </w:pPr>
    </w:p>
    <w:bookmarkStart w:id="30" w:name="page31"/>
    <w:bookmarkEnd w:id="30"/>
    <w:p>
      <w:pPr>
        <w:ind w:left="640" w:right="659"/>
        <w:spacing w:after="0" w:line="274" w:lineRule="auto"/>
        <w:rPr>
          <w:sz w:val="20"/>
          <w:szCs w:val="20"/>
          <w:color w:val="auto"/>
        </w:rPr>
      </w:pPr>
      <w:r>
        <w:rPr>
          <w:rFonts w:ascii="Times New Roman" w:cs="Times New Roman" w:eastAsia="Times New Roman" w:hAnsi="Times New Roman"/>
          <w:sz w:val="14"/>
          <w:szCs w:val="14"/>
          <w:color w:val="auto"/>
        </w:rPr>
        <w:t>likely to occur from period to period or use of different estimates that we reasonably could have used in the current period, would have a material impact on our financial condition or results of operations. There are items within our condensed consolidated financial statements that require estimation but are not deemed critical, as defined above.</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187" w:lineRule="exact"/>
        <w:rPr>
          <w:sz w:val="20"/>
          <w:szCs w:val="20"/>
          <w:color w:val="auto"/>
        </w:rPr>
      </w:pPr>
    </w:p>
    <w:p>
      <w:pPr>
        <w:ind w:left="640" w:right="659" w:firstLine="701"/>
        <w:spacing w:after="0" w:line="292" w:lineRule="auto"/>
        <w:rPr>
          <w:sz w:val="20"/>
          <w:szCs w:val="20"/>
          <w:color w:val="auto"/>
        </w:rPr>
      </w:pPr>
      <w:r>
        <w:rPr>
          <w:rFonts w:ascii="Times New Roman" w:cs="Times New Roman" w:eastAsia="Times New Roman" w:hAnsi="Times New Roman"/>
          <w:sz w:val="14"/>
          <w:szCs w:val="14"/>
          <w:color w:val="auto"/>
        </w:rPr>
        <w:t>See Note 2 to the condensed consolidated financial statements contained in Part I, Item 1 of this Quarterly Report on Form 10-Q for additional information.</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JOBS Act Accounting Election</w:t>
      </w:r>
    </w:p>
    <w:p>
      <w:pPr>
        <w:spacing w:after="0" w:line="185"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146" w:lineRule="exact"/>
        <w:rPr>
          <w:sz w:val="20"/>
          <w:szCs w:val="20"/>
          <w:color w:val="auto"/>
        </w:rPr>
      </w:pPr>
    </w:p>
    <w:p>
      <w:pPr>
        <w:ind w:left="640" w:right="719" w:firstLine="701"/>
        <w:spacing w:after="0" w:line="262"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of (1) December 31, 2026 (the last day of the fiscal year following the fifth anniversary of the closing of our IPO), (2) the last day of the fiscal year in which we have total annual gross revenue of at least $1.235 billion, (3)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200" w:lineRule="exact"/>
        <w:rPr>
          <w:sz w:val="20"/>
          <w:szCs w:val="20"/>
          <w:color w:val="auto"/>
        </w:rPr>
      </w:pPr>
    </w:p>
    <w:p>
      <w:pPr>
        <w:spacing w:after="0" w:line="292"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5" w:lineRule="exact"/>
        <w:rPr>
          <w:sz w:val="20"/>
          <w:szCs w:val="20"/>
          <w:color w:val="auto"/>
        </w:rPr>
      </w:pPr>
    </w:p>
    <w:p>
      <w:pPr>
        <w:ind w:left="640" w:right="899" w:firstLine="701"/>
        <w:spacing w:after="0" w:line="292" w:lineRule="auto"/>
        <w:rPr>
          <w:sz w:val="20"/>
          <w:szCs w:val="20"/>
          <w:color w:val="auto"/>
        </w:rPr>
      </w:pPr>
      <w:r>
        <w:rPr>
          <w:rFonts w:ascii="Times New Roman" w:cs="Times New Roman" w:eastAsia="Times New Roman" w:hAnsi="Times New Roman"/>
          <w:sz w:val="14"/>
          <w:szCs w:val="14"/>
          <w:color w:val="auto"/>
        </w:rPr>
        <w:t>We are a smaller reporting company as defined by Rule 12b-2 of the Exchange Act and are not required to provide the information required under this item.</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85" w:lineRule="exact"/>
        <w:rPr>
          <w:sz w:val="20"/>
          <w:szCs w:val="20"/>
          <w:color w:val="auto"/>
        </w:rPr>
      </w:pPr>
    </w:p>
    <w:p>
      <w:pPr>
        <w:ind w:left="640" w:right="679" w:firstLine="701"/>
        <w:spacing w:after="0" w:line="259"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upon their evaluation, our Chief Executive Officer and Chief Financial Officer concluded that, solely as a result of the material weakness previously identified by management and described in our Annual Report on Form 10-K for the fiscal year ended December 31, 2025, our disclosure controls and procedures were not effective as of March 31, 2026.</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Previously Identified Material Weakness</w:t>
      </w:r>
    </w:p>
    <w:p>
      <w:pPr>
        <w:spacing w:after="0" w:line="185" w:lineRule="exact"/>
        <w:rPr>
          <w:sz w:val="20"/>
          <w:szCs w:val="20"/>
          <w:color w:val="auto"/>
        </w:rPr>
      </w:pPr>
    </w:p>
    <w:p>
      <w:pPr>
        <w:ind w:left="640" w:right="739" w:firstLine="701"/>
        <w:spacing w:after="0" w:line="264" w:lineRule="auto"/>
        <w:rPr>
          <w:sz w:val="20"/>
          <w:szCs w:val="20"/>
          <w:color w:val="auto"/>
        </w:rPr>
      </w:pPr>
      <w:r>
        <w:rPr>
          <w:rFonts w:ascii="Times New Roman" w:cs="Times New Roman" w:eastAsia="Times New Roman" w:hAnsi="Times New Roman"/>
          <w:sz w:val="14"/>
          <w:szCs w:val="14"/>
          <w:color w:val="auto"/>
        </w:rPr>
        <w:t>As described in Part II, Item 9A, Controls and Procedures, of our Annual Report on Form 10-K for the fiscal year ended December 31, 2025, we previously identified a material weakness related to the design and implementation effectiveness of the control related to the accounting for certain significant and complex or unusual transactions. While the material weakness did not result in a misstatement of our previously filed annual or interim consolidated financial statements, this material weakness, until remediated, could result in a material misstatement to one or more accounts or disclosures that would not be prevented or detected on a timely basis.</w:t>
      </w:r>
    </w:p>
    <w:p>
      <w:pPr>
        <w:spacing w:after="0" w:line="3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Remediation</w:t>
      </w:r>
    </w:p>
    <w:p>
      <w:pPr>
        <w:spacing w:after="0" w:line="185" w:lineRule="exact"/>
        <w:rPr>
          <w:sz w:val="20"/>
          <w:szCs w:val="20"/>
          <w:color w:val="auto"/>
        </w:rPr>
      </w:pPr>
    </w:p>
    <w:p>
      <w:pPr>
        <w:ind w:left="640" w:right="719" w:firstLine="701"/>
        <w:spacing w:after="0" w:line="268" w:lineRule="auto"/>
        <w:rPr>
          <w:sz w:val="20"/>
          <w:szCs w:val="20"/>
          <w:color w:val="auto"/>
        </w:rPr>
      </w:pPr>
      <w:r>
        <w:rPr>
          <w:rFonts w:ascii="Times New Roman" w:cs="Times New Roman" w:eastAsia="Times New Roman" w:hAnsi="Times New Roman"/>
          <w:sz w:val="14"/>
          <w:szCs w:val="14"/>
          <w:color w:val="auto"/>
        </w:rPr>
        <w:t>During the three months ended March 31, 2026, we continued to implement remediation measures designed to strengthen our internal control over financial reporting and remediate previously identified material weakness. These measures include revising policies and procedures and implementing additional training to enhance our risk assessment and review processes related to significant and complex transactions, particularly in evolving and growing areas of our business.</w:t>
      </w:r>
    </w:p>
    <w:p>
      <w:pPr>
        <w:spacing w:after="0" w:line="140" w:lineRule="exact"/>
        <w:rPr>
          <w:sz w:val="20"/>
          <w:szCs w:val="20"/>
          <w:color w:val="auto"/>
        </w:rPr>
      </w:pPr>
    </w:p>
    <w:p>
      <w:pPr>
        <w:ind w:left="640" w:right="699" w:firstLine="701"/>
        <w:spacing w:after="0" w:line="265" w:lineRule="auto"/>
        <w:rPr>
          <w:sz w:val="20"/>
          <w:szCs w:val="20"/>
          <w:color w:val="auto"/>
        </w:rPr>
      </w:pPr>
      <w:r>
        <w:rPr>
          <w:rFonts w:ascii="Times New Roman" w:cs="Times New Roman" w:eastAsia="Times New Roman" w:hAnsi="Times New Roman"/>
          <w:sz w:val="14"/>
          <w:szCs w:val="14"/>
          <w:color w:val="auto"/>
        </w:rPr>
        <w:t>These remediation efforts are subject to ongoing senior management review, as well as oversight by the Audit Committee of our Board of Directors. The material weakness will not be considered remediated until the relevant control has been designed and implemented effectively for a sufficient period of time and management has concluded, through testing, that the control is effective. We will continue to monitor the effectiveness of our remediation efforts and make additional improvements as management deems necessary.</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5" w:lineRule="exact"/>
        <w:rPr>
          <w:sz w:val="20"/>
          <w:szCs w:val="20"/>
          <w:color w:val="auto"/>
        </w:rPr>
      </w:pPr>
    </w:p>
    <w:p>
      <w:pPr>
        <w:jc w:val="both"/>
        <w:ind w:left="640" w:right="779" w:firstLine="701"/>
        <w:spacing w:after="0" w:line="274" w:lineRule="auto"/>
        <w:rPr>
          <w:sz w:val="20"/>
          <w:szCs w:val="20"/>
          <w:color w:val="auto"/>
        </w:rPr>
      </w:pPr>
      <w:r>
        <w:rPr>
          <w:rFonts w:ascii="Times New Roman" w:cs="Times New Roman" w:eastAsia="Times New Roman" w:hAnsi="Times New Roman"/>
          <w:sz w:val="14"/>
          <w:szCs w:val="14"/>
          <w:color w:val="auto"/>
        </w:rPr>
        <w:t>Except as noted above, there were no changes in our internal control over financial reporting, as such term is defined in Rules 13a-15(f) and 15d-15(f) under the Exchange Act, during the three months ended March 31, 2026 that have materially affected, or are reasonably likely to materially affect, our internal control over financial reporting.</w:t>
      </w:r>
    </w:p>
    <w:p>
      <w:pPr>
        <w:spacing w:after="0" w:line="30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185" w:lineRule="exact"/>
        <w:rPr>
          <w:sz w:val="20"/>
          <w:szCs w:val="20"/>
          <w:color w:val="auto"/>
        </w:rPr>
      </w:pPr>
    </w:p>
    <w:p>
      <w:pPr>
        <w:ind w:left="640" w:right="699" w:firstLine="701"/>
        <w:spacing w:after="0" w:line="258"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5"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5" w:lineRule="exact"/>
        <w:rPr>
          <w:sz w:val="20"/>
          <w:szCs w:val="20"/>
          <w:color w:val="auto"/>
        </w:rPr>
      </w:pPr>
    </w:p>
    <w:p>
      <w:pPr>
        <w:ind w:left="640" w:right="699" w:firstLine="701"/>
        <w:spacing w:after="0" w:line="268"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5" w:lineRule="exact"/>
        <w:rPr>
          <w:sz w:val="20"/>
          <w:szCs w:val="20"/>
          <w:color w:val="auto"/>
        </w:rPr>
      </w:pPr>
    </w:p>
    <w:p>
      <w:pPr>
        <w:ind w:left="640" w:right="699" w:firstLine="701"/>
        <w:spacing w:after="0" w:line="274" w:lineRule="auto"/>
        <w:rPr>
          <w:sz w:val="20"/>
          <w:szCs w:val="20"/>
          <w:color w:val="auto"/>
        </w:rPr>
      </w:pPr>
      <w:r>
        <w:rPr>
          <w:rFonts w:ascii="Times New Roman" w:cs="Times New Roman" w:eastAsia="Times New Roman" w:hAnsi="Times New Roman"/>
          <w:sz w:val="14"/>
          <w:szCs w:val="14"/>
          <w:color w:val="auto"/>
        </w:rPr>
        <w:t>Other than described below, management believes that there have been no significant changes to the risk factors associated with our business as compared to those disclosed in Part 1, Item 1A of our Annual Report on Form 10-K for the year ended December 31, 2025.</w:t>
      </w:r>
    </w:p>
    <w:p>
      <w:pPr>
        <w:spacing w:after="0" w:line="132" w:lineRule="exact"/>
        <w:rPr>
          <w:sz w:val="20"/>
          <w:szCs w:val="20"/>
          <w:color w:val="auto"/>
        </w:rPr>
      </w:pPr>
    </w:p>
    <w:p>
      <w:pPr>
        <w:ind w:left="640" w:right="679" w:firstLine="70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currently do not meet, and may not regain compliance with, the listing standards of the Nasdaq Stock Market LLC, or Nasdaq, and as a result our Class A common stock may be delisted. Delisting could adversely affect the liquidity of our Class A common stock and the market price of our Class A common stock could decrease, and our ability to obtain sufficient additional capital to fund our operations and to continue to operate as a going concern would be substantially impaired.</w:t>
      </w:r>
    </w:p>
    <w:p>
      <w:pPr>
        <w:spacing w:after="0" w:line="139" w:lineRule="exact"/>
        <w:rPr>
          <w:sz w:val="20"/>
          <w:szCs w:val="20"/>
          <w:color w:val="auto"/>
        </w:rPr>
      </w:pPr>
    </w:p>
    <w:p>
      <w:pPr>
        <w:ind w:left="640" w:right="659" w:firstLine="701"/>
        <w:spacing w:after="0" w:line="259" w:lineRule="auto"/>
        <w:rPr>
          <w:sz w:val="20"/>
          <w:szCs w:val="20"/>
          <w:color w:val="auto"/>
        </w:rPr>
      </w:pPr>
      <w:r>
        <w:rPr>
          <w:rFonts w:ascii="Times New Roman" w:cs="Times New Roman" w:eastAsia="Times New Roman" w:hAnsi="Times New Roman"/>
          <w:sz w:val="14"/>
          <w:szCs w:val="14"/>
          <w:color w:val="auto"/>
        </w:rPr>
        <w:t>Our Class A common stock is currently listed on the Nasdaq Global Market, which has minimum requirements that a company must meet in order to remain listed. These requirements include maintaining a minimum closing bid price of $1.00 per share, which closing bid price cannot fall below $1.00 per share for a period of more than 30 consecutive trading days, or the Bid Price Requirement. On May 11, 2026, we received a deficiency notice, or the Notice, from the Listing Qualifications Staff, or the Staff, of Nasdaq notifying us that, for the last 30 consecutive business days, the bid price of our Class A common stock had closed below $1.00 per share, thereby failing to satisfy the Bid Price Requirement set forth in the continued listing requirements of Nasdaq Listing Rule 5450(a)(1). The Notice has no immediate effect on the listing of our Class A common stock on the Nasdaq Global Market. In accordance with Nasdaq Listing Rule 5810(c)(3)(A), we have 180 calendar days, or until November 9, 2026, to regain compliance with the Bid Price Requirement by having shares of our Class A common stock maintain a minimum closing bid price of at least $1.00 per share for a minimum of 10 consecutive trading days. In the event we do not regain compliance with the Bid Price Requirement prior to the expiration of the compliance period, our Class A common stock may be subject to a delisting action by Nasdaq.</w:t>
      </w:r>
    </w:p>
    <w:p>
      <w:pPr>
        <w:spacing w:after="0" w:line="151" w:lineRule="exact"/>
        <w:rPr>
          <w:sz w:val="20"/>
          <w:szCs w:val="20"/>
          <w:color w:val="auto"/>
        </w:rPr>
      </w:pPr>
    </w:p>
    <w:p>
      <w:pPr>
        <w:ind w:left="640" w:right="659" w:firstLine="701"/>
        <w:spacing w:after="0" w:line="260" w:lineRule="auto"/>
        <w:rPr>
          <w:sz w:val="20"/>
          <w:szCs w:val="20"/>
          <w:color w:val="auto"/>
        </w:rPr>
      </w:pPr>
      <w:r>
        <w:rPr>
          <w:rFonts w:ascii="Times New Roman" w:cs="Times New Roman" w:eastAsia="Times New Roman" w:hAnsi="Times New Roman"/>
          <w:sz w:val="14"/>
          <w:szCs w:val="14"/>
          <w:color w:val="auto"/>
        </w:rPr>
        <w:t>Alternatively, we may be eligible for an additional 180-calendar day compliance period if we elect to transfer to the Nasdaq Capital Market to take advantage of the additional compliance period offered on that market. To qualify, we will be required to meet the continued listing requirement for market value of publicly held shares and all other initial listing standards, with the exception of the Bid Price Requirement, and will need to provide written notice of our intention to cure the deficiency during the second compliance period by effecting a reverse stock split if necessary. If we do not regain compliance within the compliance period(s), including any extensions that may be granted by Nasdaq, then the Class A common stock will be subject to delisting. We intend to monitor the closing bid price of our Class A common stock and consider our available options to resolve the noncompliance with the Bid Price Requirement. There can be no assurance that we will be able to regain compliance with the Nasdaq Global Market’s continued listing requirements or that Nasdaq will grant us a further extension of time to regain compliance, if applicable.</w:t>
      </w:r>
    </w:p>
    <w:p>
      <w:pPr>
        <w:spacing w:after="0" w:line="149" w:lineRule="exact"/>
        <w:rPr>
          <w:sz w:val="20"/>
          <w:szCs w:val="20"/>
          <w:color w:val="auto"/>
        </w:rPr>
      </w:pPr>
    </w:p>
    <w:p>
      <w:pPr>
        <w:ind w:left="640" w:right="719" w:firstLine="701"/>
        <w:spacing w:after="0" w:line="261" w:lineRule="auto"/>
        <w:rPr>
          <w:sz w:val="20"/>
          <w:szCs w:val="20"/>
          <w:color w:val="auto"/>
        </w:rPr>
      </w:pPr>
      <w:r>
        <w:rPr>
          <w:rFonts w:ascii="Times New Roman" w:cs="Times New Roman" w:eastAsia="Times New Roman" w:hAnsi="Times New Roman"/>
          <w:sz w:val="14"/>
          <w:szCs w:val="14"/>
          <w:color w:val="auto"/>
        </w:rPr>
        <w:t>A reverse stock split may allow us to meet the Bid Price Requirement, but we cannot assure you that a reverse stock split will be approved by our stockholders or that any reverse stock split, if implemented, will be sufficient to enable us to maintain our Nasdaq listing. Additionally, if a reverse stock split is implemented, there can be no assurance that the market price per post-split share of our Class A common stock following the reverse stock split will remain unchanged or will increase in proportion to the reduction in the number of pre-split shares of our Class A common stock outstanding before the reverse stock split. The liquidity of the shares of our Class A common stock may be affected adversely by any reverse stock split given the reduced number of shares of our Class A common stock that will be outstanding following such reverse stock split. Furthermore, following any reverse stock split, the resulting market price of our Class A common stock may not attract new investors and may not satisfy the investing requirements of those investors.</w:t>
      </w:r>
    </w:p>
    <w:p>
      <w:pPr>
        <w:spacing w:after="0" w:line="318" w:lineRule="exact"/>
        <w:rPr>
          <w:sz w:val="20"/>
          <w:szCs w:val="20"/>
          <w:color w:val="auto"/>
        </w:rPr>
      </w:pPr>
    </w:p>
    <w:p>
      <w:pPr>
        <w:ind w:left="640" w:right="699" w:firstLine="701"/>
        <w:spacing w:after="0" w:line="263" w:lineRule="auto"/>
        <w:rPr>
          <w:sz w:val="20"/>
          <w:szCs w:val="20"/>
          <w:color w:val="auto"/>
        </w:rPr>
      </w:pPr>
      <w:r>
        <w:rPr>
          <w:rFonts w:ascii="Times New Roman" w:cs="Times New Roman" w:eastAsia="Times New Roman" w:hAnsi="Times New Roman"/>
          <w:sz w:val="14"/>
          <w:szCs w:val="14"/>
          <w:color w:val="auto"/>
        </w:rPr>
        <w:t>In the event that our Class A common stock is delisted from Nasdaq as a result of our failure to regain compliance with the Bid Price Requirement, as a result of Nasdaq not granting us an extension or the panel not granting us a favorable decision or due to our failure to continue to comply with any other requirement for continued listing on Nasdaq, trading of our Class A common stock could be conducted in the over-the-counter market or on an electronic bulletin board established for unlisted securities such as the Pink Sheets or the OTC Bulletin Board, but there can be no assurance that our Class A common stock will be eligible for trading on such alternative exchange or market.</w:t>
      </w:r>
    </w:p>
    <w:p>
      <w:pPr>
        <w:spacing w:after="0" w:line="31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34" w:name="page35"/>
    <w:bookmarkEnd w:id="34"/>
    <w:p>
      <w:pPr>
        <w:ind w:left="640" w:right="699" w:firstLine="701"/>
        <w:spacing w:after="0" w:line="261" w:lineRule="auto"/>
        <w:rPr>
          <w:sz w:val="20"/>
          <w:szCs w:val="20"/>
          <w:color w:val="auto"/>
        </w:rPr>
      </w:pPr>
      <w:r>
        <w:rPr>
          <w:rFonts w:ascii="Times New Roman" w:cs="Times New Roman" w:eastAsia="Times New Roman" w:hAnsi="Times New Roman"/>
          <w:sz w:val="14"/>
          <w:szCs w:val="14"/>
          <w:color w:val="auto"/>
        </w:rPr>
        <w:t>Additionally, if our Class A common stock is delisted from Nasdaq, the liquidity of our Class A common stock would be adversely affected, the market price of our Class A common stock could decrease, our ability to obtain sufficient additional capital to fund our operations and to continue to operate as a going concern would be substantially impaired and transactions in our Class A common stock could lose federal preemption of state securities laws. Furthermore, there could also be a further reduction in our coverage by securities analysts and the news media and broker-dealers may be deterred from making a market in or otherwise seeking or generating interest in our Class A common stock, which could cause the price of our Class A common stock to decline further. Moreover, delisting may also negatively affect our collaborators’, vendors’, suppliers’ and employees’ confidence in us and employee morale.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5" w:lineRule="exact"/>
        <w:rPr>
          <w:sz w:val="20"/>
          <w:szCs w:val="20"/>
          <w:color w:val="auto"/>
        </w:rPr>
      </w:pPr>
    </w:p>
    <w:p>
      <w:pPr>
        <w:ind w:left="640" w:right="859" w:firstLine="701"/>
        <w:spacing w:after="0" w:line="268" w:lineRule="auto"/>
        <w:rPr>
          <w:sz w:val="20"/>
          <w:szCs w:val="20"/>
          <w:color w:val="auto"/>
        </w:rPr>
      </w:pPr>
      <w:r>
        <w:rPr>
          <w:rFonts w:ascii="Times New Roman" w:cs="Times New Roman" w:eastAsia="Times New Roman" w:hAnsi="Times New Roman"/>
          <w:sz w:val="14"/>
          <w:szCs w:val="14"/>
          <w:color w:val="auto"/>
        </w:rPr>
        <w:t>In January 2026, we issued 2,099,844 shares of our Class A common stock to funds affiliated with Avenue Venture Opportunities Fund, L.P (the “Lender”) upon exercise by the Lender of the Pre-Funded Warrants issued in the Private Placement in October 2025. The Pre-Funded Warrants were exercised on a cashless basis in accordance with their terms, resulting in no cash proceeds to us. The issuance was exempt from registration under Section 3(a)(9) of the Securities Act of 1933.</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5" w:lineRule="exact"/>
        <w:rPr>
          <w:sz w:val="20"/>
          <w:szCs w:val="20"/>
          <w:color w:val="auto"/>
        </w:rPr>
      </w:pPr>
    </w:p>
    <w:p>
      <w:pPr>
        <w:jc w:val="both"/>
        <w:ind w:left="640" w:right="859" w:firstLine="701"/>
        <w:spacing w:after="0" w:line="274" w:lineRule="auto"/>
        <w:rPr>
          <w:sz w:val="20"/>
          <w:szCs w:val="20"/>
          <w:color w:val="auto"/>
        </w:rPr>
      </w:pPr>
      <w:r>
        <w:rPr>
          <w:rFonts w:ascii="Times New Roman" w:cs="Times New Roman" w:eastAsia="Times New Roman" w:hAnsi="Times New Roman"/>
          <w:sz w:val="14"/>
          <w:szCs w:val="14"/>
          <w:color w:val="auto"/>
        </w:rPr>
        <w:t>During the three months ended March 31, 2026, none of our directors or officers (as defined in Rule 16a-1(f) under the Exchange Act) adopted or terminated any “Rule 10b5-1 trading arrangement” or “non-Rule 10b5-1 trading arrangement,” as those terms are defined in Item 408 of Regulation S-K.</w:t>
      </w:r>
    </w:p>
    <w:p>
      <w:pPr>
        <w:spacing w:after="0" w:line="200" w:lineRule="exact"/>
        <w:rPr>
          <w:sz w:val="20"/>
          <w:szCs w:val="20"/>
          <w:color w:val="auto"/>
        </w:rPr>
      </w:pPr>
    </w:p>
    <w:p>
      <w:pPr>
        <w:spacing w:after="0" w:line="36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580" w:type="dxa"/>
            <w:vAlign w:val="bottom"/>
            <w:gridSpan w:val="12"/>
            <w:vMerge w:val="restart"/>
          </w:tcPr>
          <w:p>
            <w:pPr>
              <w:ind w:left="28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580" w:type="dxa"/>
            <w:vAlign w:val="bottom"/>
            <w:tcBorders>
              <w:bottom w:val="single" w:sz="8" w:color="auto"/>
            </w:tcBorders>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1"/>
                <w:szCs w:val="11"/>
                <w:color w:val="auto"/>
              </w:rPr>
            </w:pPr>
          </w:p>
        </w:tc>
        <w:tc>
          <w:tcPr>
            <w:tcW w:w="6880" w:type="dxa"/>
            <w:vAlign w:val="bottom"/>
            <w:tcBorders>
              <w:bottom w:val="single" w:sz="8" w:color="0000FF"/>
            </w:tcBorders>
            <w:gridSpan w:val="11"/>
          </w:tcPr>
          <w:p>
            <w:pPr>
              <w:spacing w:after="0" w:line="131"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Amended and Restated Certificate of Incorporation of the Registrant as currently in effect (incorporated by reference to</w:t>
              </w:r>
            </w:hyperlink>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80" w:type="dxa"/>
            <w:vAlign w:val="bottom"/>
            <w:tcBorders>
              <w:bottom w:val="single" w:sz="8" w:color="0000FF"/>
            </w:tcBorders>
            <w:gridSpan w:val="11"/>
          </w:tcPr>
          <w:p>
            <w:pPr>
              <w:spacing w:after="0" w:line="152"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Exhibit 3.1 to the Registrant’s Current Report on Form 8-K dated December 31, 2025, filed with the SEC on January 2,</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gridSpan w:val="2"/>
          </w:tcPr>
          <w:p>
            <w:pPr>
              <w:ind w:left="80"/>
              <w:spacing w:after="0" w:line="152" w:lineRule="exact"/>
              <w:rPr>
                <w:rFonts w:ascii="Times New Roman" w:cs="Times New Roman" w:eastAsia="Times New Roman" w:hAnsi="Times New Roman"/>
                <w:sz w:val="14"/>
                <w:szCs w:val="14"/>
                <w:color w:val="0000FF"/>
                <w:w w:val="93"/>
              </w:rPr>
            </w:pPr>
            <w:hyperlink r:id="rId199">
              <w:r>
                <w:rPr>
                  <w:rFonts w:ascii="Times New Roman" w:cs="Times New Roman" w:eastAsia="Times New Roman" w:hAnsi="Times New Roman"/>
                  <w:sz w:val="14"/>
                  <w:szCs w:val="14"/>
                  <w:color w:val="0000FF"/>
                  <w:w w:val="93"/>
                </w:rPr>
                <w:t>2026).</w:t>
              </w:r>
            </w:hyperlink>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3"/>
                <w:szCs w:val="13"/>
                <w:color w:val="auto"/>
              </w:rPr>
            </w:pPr>
          </w:p>
        </w:tc>
        <w:tc>
          <w:tcPr>
            <w:tcW w:w="6760" w:type="dxa"/>
            <w:vAlign w:val="bottom"/>
            <w:tcBorders>
              <w:bottom w:val="single" w:sz="8" w:color="0000FF"/>
            </w:tcBorders>
            <w:gridSpan w:val="10"/>
          </w:tcPr>
          <w:p>
            <w:pPr>
              <w:spacing w:after="0" w:line="152"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Amended and Restated Bylaws of the Registrant as currently in effect (incorporated by reference to Exhibit 3.2 to the</w:t>
              </w:r>
            </w:hyperlink>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20" w:type="dxa"/>
            <w:vAlign w:val="bottom"/>
            <w:tcBorders>
              <w:bottom w:val="single" w:sz="8" w:color="0000FF"/>
            </w:tcBorders>
            <w:gridSpan w:val="8"/>
          </w:tcPr>
          <w:p>
            <w:pPr>
              <w:spacing w:after="0" w:line="152"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Registrant’s Current Report on Form 8-K dated December 31, 2025, filed with the SEC on January 2, 2026).</w:t>
              </w:r>
            </w:hyperlink>
          </w:p>
        </w:tc>
        <w:tc>
          <w:tcPr>
            <w:tcW w:w="7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3"/>
                <w:szCs w:val="13"/>
                <w:color w:val="auto"/>
              </w:rPr>
            </w:pPr>
          </w:p>
        </w:tc>
        <w:tc>
          <w:tcPr>
            <w:tcW w:w="696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Rani Therapeutics Holdings, Inc. Non-Employee Director Compensation Policy.</w:t>
            </w:r>
          </w:p>
        </w:tc>
        <w:tc>
          <w:tcPr>
            <w:tcW w:w="0" w:type="dxa"/>
            <w:vAlign w:val="bottom"/>
          </w:tcPr>
          <w:p>
            <w:pPr>
              <w:spacing w:after="0"/>
              <w:rPr>
                <w:sz w:val="1"/>
                <w:szCs w:val="1"/>
                <w:color w:val="auto"/>
              </w:rPr>
            </w:pPr>
          </w:p>
        </w:tc>
      </w:tr>
      <w:tr>
        <w:trPr>
          <w:trHeight w:val="152"/>
        </w:trPr>
        <w:tc>
          <w:tcPr>
            <w:tcW w:w="7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FF"/>
              </w:rPr>
              <w:t>First Amendment to ProGen Collaboration Agreement dated January 13, 2026.</w:t>
            </w:r>
          </w:p>
        </w:tc>
        <w:tc>
          <w:tcPr>
            <w:tcW w:w="80" w:type="dxa"/>
            <w:vAlign w:val="bottom"/>
            <w:tcBorders>
              <w:top w:val="single" w:sz="8" w:color="0000FF"/>
            </w:tcBorders>
          </w:tcPr>
          <w:p>
            <w:pPr>
              <w:spacing w:after="0"/>
              <w:rPr>
                <w:sz w:val="13"/>
                <w:szCs w:val="13"/>
                <w:color w:val="auto"/>
              </w:rPr>
            </w:pPr>
          </w:p>
        </w:tc>
        <w:tc>
          <w:tcPr>
            <w:tcW w:w="23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3"/>
                <w:szCs w:val="13"/>
                <w:color w:val="auto"/>
              </w:rPr>
            </w:pPr>
          </w:p>
        </w:tc>
        <w:tc>
          <w:tcPr>
            <w:tcW w:w="6760" w:type="dxa"/>
            <w:vAlign w:val="bottom"/>
            <w:tcBorders>
              <w:bottom w:val="single" w:sz="8" w:color="0000FF"/>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 Securities Exchange</w:t>
            </w:r>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6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3"/>
                <w:szCs w:val="13"/>
                <w:color w:val="auto"/>
              </w:rPr>
            </w:pPr>
          </w:p>
        </w:tc>
        <w:tc>
          <w:tcPr>
            <w:tcW w:w="6940" w:type="dxa"/>
            <w:vAlign w:val="bottom"/>
            <w:tcBorders>
              <w:bottom w:val="single" w:sz="8" w:color="0000FF"/>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 Securities Exchange Act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6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3"/>
                <w:szCs w:val="13"/>
                <w:color w:val="auto"/>
              </w:rPr>
            </w:pPr>
          </w:p>
        </w:tc>
        <w:tc>
          <w:tcPr>
            <w:tcW w:w="6580" w:type="dxa"/>
            <w:vAlign w:val="bottom"/>
            <w:tcBorders>
              <w:bottom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 Section 1350, as</w:t>
            </w:r>
          </w:p>
        </w:tc>
        <w:tc>
          <w:tcPr>
            <w:tcW w:w="3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60" w:type="dxa"/>
            <w:vAlign w:val="bottom"/>
            <w:tcBorders>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0" w:type="dxa"/>
            <w:vAlign w:val="bottom"/>
            <w:tcBorders>
              <w:bottom w:val="single" w:sz="8" w:color="0000EE"/>
            </w:tcBorders>
          </w:tcPr>
          <w:p>
            <w:pPr>
              <w:spacing w:after="0"/>
              <w:rPr>
                <w:sz w:val="13"/>
                <w:szCs w:val="13"/>
                <w:color w:val="auto"/>
              </w:rPr>
            </w:pPr>
          </w:p>
        </w:tc>
        <w:tc>
          <w:tcPr>
            <w:tcW w:w="29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80" w:type="dxa"/>
            <w:vAlign w:val="bottom"/>
          </w:tcPr>
          <w:p>
            <w:pPr>
              <w:spacing w:after="0"/>
              <w:rPr>
                <w:sz w:val="14"/>
                <w:szCs w:val="14"/>
                <w:color w:val="auto"/>
              </w:rPr>
            </w:pPr>
          </w:p>
        </w:tc>
        <w:tc>
          <w:tcPr>
            <w:tcW w:w="69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9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tags are embedded within the Inline XBRL document.</w:t>
            </w:r>
          </w:p>
        </w:tc>
        <w:tc>
          <w:tcPr>
            <w:tcW w:w="0" w:type="dxa"/>
            <w:vAlign w:val="bottom"/>
          </w:tcPr>
          <w:p>
            <w:pPr>
              <w:spacing w:after="0"/>
              <w:rPr>
                <w:sz w:val="1"/>
                <w:szCs w:val="1"/>
                <w:color w:val="auto"/>
              </w:rPr>
            </w:pPr>
          </w:p>
        </w:tc>
      </w:tr>
      <w:tr>
        <w:trPr>
          <w:trHeight w:val="172"/>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80" w:type="dxa"/>
            <w:vAlign w:val="bottom"/>
          </w:tcPr>
          <w:p>
            <w:pPr>
              <w:spacing w:after="0"/>
              <w:rPr>
                <w:sz w:val="14"/>
                <w:szCs w:val="14"/>
                <w:color w:val="auto"/>
              </w:rPr>
            </w:pPr>
          </w:p>
        </w:tc>
        <w:tc>
          <w:tcPr>
            <w:tcW w:w="69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Documents</w:t>
            </w:r>
          </w:p>
        </w:tc>
        <w:tc>
          <w:tcPr>
            <w:tcW w:w="0" w:type="dxa"/>
            <w:vAlign w:val="bottom"/>
          </w:tcPr>
          <w:p>
            <w:pPr>
              <w:spacing w:after="0"/>
              <w:rPr>
                <w:sz w:val="1"/>
                <w:szCs w:val="1"/>
                <w:color w:val="auto"/>
              </w:rPr>
            </w:pPr>
          </w:p>
        </w:tc>
      </w:tr>
      <w:tr>
        <w:trPr>
          <w:trHeight w:val="186"/>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69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020" w:hanging="382"/>
        <w:spacing w:after="0"/>
        <w:tabs>
          <w:tab w:leader="none" w:pos="102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Filed herewith.</w:t>
      </w:r>
    </w:p>
    <w:p>
      <w:pPr>
        <w:spacing w:after="0" w:line="2" w:lineRule="exact"/>
        <w:rPr>
          <w:sz w:val="20"/>
          <w:szCs w:val="20"/>
          <w:color w:val="auto"/>
        </w:rPr>
      </w:pPr>
    </w:p>
    <w:p>
      <w:pPr>
        <w:ind w:left="1020" w:right="679" w:hanging="382"/>
        <w:spacing w:after="0" w:line="260"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1059" w:firstLine="70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Rani Therapeutics Holdings, Inc.</w:t>
      </w:r>
    </w:p>
    <w:p>
      <w:pPr>
        <w:spacing w:after="0" w:line="183" w:lineRule="exact"/>
        <w:rPr>
          <w:sz w:val="20"/>
          <w:szCs w:val="20"/>
          <w:color w:val="auto"/>
        </w:rPr>
      </w:pPr>
    </w:p>
    <w:p>
      <w:pPr>
        <w:ind w:left="640"/>
        <w:spacing w:after="0"/>
        <w:tabs>
          <w:tab w:leader="none" w:pos="4520" w:val="left"/>
          <w:tab w:leader="none" w:pos="6160" w:val="left"/>
        </w:tabs>
        <w:rPr>
          <w:sz w:val="20"/>
          <w:szCs w:val="20"/>
          <w:color w:val="auto"/>
        </w:rPr>
      </w:pPr>
      <w:r>
        <w:rPr>
          <w:rFonts w:ascii="Times New Roman" w:cs="Times New Roman" w:eastAsia="Times New Roman" w:hAnsi="Times New Roman"/>
          <w:sz w:val="14"/>
          <w:szCs w:val="14"/>
          <w:color w:val="auto"/>
        </w:rPr>
        <w:t>Date: May 15,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16510</wp:posOffset>
            </wp:positionV>
            <wp:extent cx="224345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b w:val="1"/>
          <w:bCs w:val="1"/>
          <w:color w:val="auto"/>
        </w:rPr>
        <w:t>Talat Imran</w:t>
      </w:r>
    </w:p>
    <w:p>
      <w:pPr>
        <w:spacing w:after="0" w:line="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1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69" w:lineRule="exact"/>
        <w:rPr>
          <w:sz w:val="20"/>
          <w:szCs w:val="20"/>
          <w:color w:val="auto"/>
        </w:rPr>
      </w:pPr>
    </w:p>
    <w:p>
      <w:pPr>
        <w:ind w:left="640"/>
        <w:spacing w:after="0"/>
        <w:tabs>
          <w:tab w:leader="none" w:pos="4520" w:val="left"/>
          <w:tab w:leader="none" w:pos="6120" w:val="left"/>
        </w:tabs>
        <w:rPr>
          <w:sz w:val="20"/>
          <w:szCs w:val="20"/>
          <w:color w:val="auto"/>
        </w:rPr>
      </w:pPr>
      <w:r>
        <w:rPr>
          <w:rFonts w:ascii="Times New Roman" w:cs="Times New Roman" w:eastAsia="Times New Roman" w:hAnsi="Times New Roman"/>
          <w:sz w:val="14"/>
          <w:szCs w:val="14"/>
          <w:color w:val="auto"/>
        </w:rPr>
        <w:t>Date: May 15,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16510</wp:posOffset>
            </wp:positionV>
            <wp:extent cx="224345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1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Svai Sanford</w:t>
      </w:r>
    </w:p>
    <w:p>
      <w:pPr>
        <w:spacing w:after="0" w:line="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1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341"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37" w:name="page38"/>
    <w:bookmarkEnd w:id="37"/>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RANI THERAPEUTICS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NON-EMPLOYEE DIRECTOR COMPENSATION POLICY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AMENDED EFFECTIVE MARCH 18, 2026)</w:t>
      </w:r>
    </w:p>
    <w:p>
      <w:pPr>
        <w:spacing w:after="0" w:line="115" w:lineRule="exact"/>
        <w:rPr>
          <w:sz w:val="20"/>
          <w:szCs w:val="20"/>
          <w:color w:val="auto"/>
        </w:rPr>
      </w:pPr>
    </w:p>
    <w:p>
      <w:pPr>
        <w:ind w:left="640" w:right="659"/>
        <w:spacing w:after="0" w:line="242" w:lineRule="auto"/>
        <w:rPr>
          <w:sz w:val="20"/>
          <w:szCs w:val="20"/>
          <w:color w:val="auto"/>
        </w:rPr>
      </w:pPr>
      <w:r>
        <w:rPr>
          <w:rFonts w:ascii="Times New Roman" w:cs="Times New Roman" w:eastAsia="Times New Roman" w:hAnsi="Times New Roman"/>
          <w:sz w:val="16"/>
          <w:szCs w:val="16"/>
          <w:color w:val="auto"/>
        </w:rPr>
        <w:t>Each member of the Board of Directors (the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who is not also serving as an employee of or consultant to Rani Therapeutics Holdings,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or any of its subsidiaries (each such member, an “</w:t>
      </w:r>
      <w:r>
        <w:rPr>
          <w:rFonts w:ascii="Times New Roman" w:cs="Times New Roman" w:eastAsia="Times New Roman" w:hAnsi="Times New Roman"/>
          <w:sz w:val="16"/>
          <w:szCs w:val="16"/>
          <w:b w:val="1"/>
          <w:bCs w:val="1"/>
          <w:i w:val="1"/>
          <w:iCs w:val="1"/>
          <w:color w:val="auto"/>
        </w:rPr>
        <w:t>Eligible Director</w:t>
      </w:r>
      <w:r>
        <w:rPr>
          <w:rFonts w:ascii="Times New Roman" w:cs="Times New Roman" w:eastAsia="Times New Roman" w:hAnsi="Times New Roman"/>
          <w:sz w:val="16"/>
          <w:szCs w:val="16"/>
          <w:color w:val="auto"/>
        </w:rPr>
        <w:t>”) will receive the compensation described in this Non-Employee Director Compensation Policy for his or her Board service upon and following the date of the underwriting agreement between the Company and the underwriters managing the initial public offering of the Company’s Class A common stock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pursuant to which the Common Stock is priced in such initial public offering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w:t>
      </w:r>
    </w:p>
    <w:p>
      <w:pPr>
        <w:spacing w:after="0" w:line="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Annual Cash Compensation</w:t>
      </w:r>
    </w:p>
    <w:p>
      <w:pPr>
        <w:spacing w:after="0" w:line="108" w:lineRule="exact"/>
        <w:rPr>
          <w:sz w:val="20"/>
          <w:szCs w:val="20"/>
          <w:color w:val="auto"/>
        </w:rPr>
      </w:pPr>
    </w:p>
    <w:p>
      <w:pPr>
        <w:ind w:left="640" w:right="719"/>
        <w:spacing w:after="0" w:line="243" w:lineRule="auto"/>
        <w:rPr>
          <w:sz w:val="20"/>
          <w:szCs w:val="20"/>
          <w:color w:val="auto"/>
        </w:rPr>
      </w:pPr>
      <w:r>
        <w:rPr>
          <w:rFonts w:ascii="Times New Roman" w:cs="Times New Roman" w:eastAsia="Times New Roman" w:hAnsi="Times New Roman"/>
          <w:sz w:val="16"/>
          <w:szCs w:val="16"/>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w:t>
      </w:r>
    </w:p>
    <w:p>
      <w:pPr>
        <w:spacing w:after="0" w:line="96" w:lineRule="exact"/>
        <w:rPr>
          <w:sz w:val="20"/>
          <w:szCs w:val="20"/>
          <w:color w:val="auto"/>
        </w:rPr>
      </w:pPr>
    </w:p>
    <w:p>
      <w:pPr>
        <w:ind w:left="920" w:hanging="282"/>
        <w:spacing w:after="0"/>
        <w:tabs>
          <w:tab w:leader="none" w:pos="9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Board Service Retainer</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1220" w:hanging="296"/>
        <w:spacing w:after="0"/>
        <w:tabs>
          <w:tab w:leader="none" w:pos="122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Eligible Directors: $45,000</w:t>
      </w:r>
    </w:p>
    <w:p>
      <w:pPr>
        <w:spacing w:after="0" w:line="105" w:lineRule="exact"/>
        <w:rPr>
          <w:rFonts w:ascii="Times New Roman" w:cs="Times New Roman" w:eastAsia="Times New Roman" w:hAnsi="Times New Roman"/>
          <w:sz w:val="16"/>
          <w:szCs w:val="16"/>
          <w:color w:val="auto"/>
        </w:rPr>
      </w:pPr>
    </w:p>
    <w:p>
      <w:pPr>
        <w:ind w:left="1660" w:right="999" w:hanging="515"/>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Executive Chair and/or Independent Lead of the Board Service Retainer (in addition to Eligible Director Service Retainer): $35,000</w:t>
      </w:r>
    </w:p>
    <w:p>
      <w:pPr>
        <w:spacing w:after="0" w:line="73" w:lineRule="exact"/>
        <w:rPr>
          <w:rFonts w:ascii="Times New Roman" w:cs="Times New Roman" w:eastAsia="Times New Roman" w:hAnsi="Times New Roman"/>
          <w:sz w:val="16"/>
          <w:szCs w:val="16"/>
          <w:color w:val="auto"/>
        </w:rPr>
      </w:pPr>
    </w:p>
    <w:p>
      <w:pPr>
        <w:ind w:left="920" w:hanging="282"/>
        <w:spacing w:after="0"/>
        <w:tabs>
          <w:tab w:leader="none" w:pos="9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Committee Chair Service Retainer</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1220" w:hanging="296"/>
        <w:spacing w:after="0"/>
        <w:tabs>
          <w:tab w:leader="none" w:pos="122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Audit Committee: $20,000</w:t>
      </w:r>
    </w:p>
    <w:p>
      <w:pPr>
        <w:spacing w:after="0" w:line="105" w:lineRule="exact"/>
        <w:rPr>
          <w:rFonts w:ascii="Times New Roman" w:cs="Times New Roman" w:eastAsia="Times New Roman" w:hAnsi="Times New Roman"/>
          <w:sz w:val="16"/>
          <w:szCs w:val="16"/>
          <w:color w:val="auto"/>
        </w:rPr>
      </w:pPr>
    </w:p>
    <w:p>
      <w:pPr>
        <w:ind w:left="1220" w:hanging="296"/>
        <w:spacing w:after="0"/>
        <w:tabs>
          <w:tab w:leader="none" w:pos="122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Compensation Committee: $15,000</w:t>
      </w:r>
    </w:p>
    <w:p>
      <w:pPr>
        <w:spacing w:after="0" w:line="116" w:lineRule="exact"/>
        <w:rPr>
          <w:rFonts w:ascii="Times New Roman" w:cs="Times New Roman" w:eastAsia="Times New Roman" w:hAnsi="Times New Roman"/>
          <w:sz w:val="16"/>
          <w:szCs w:val="16"/>
          <w:color w:val="auto"/>
        </w:rPr>
      </w:pPr>
    </w:p>
    <w:p>
      <w:pPr>
        <w:ind w:left="1220" w:hanging="296"/>
        <w:spacing w:after="0"/>
        <w:tabs>
          <w:tab w:leader="none" w:pos="122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Nominating and Corporate Governance Committee: $10,000</w:t>
      </w:r>
    </w:p>
    <w:p>
      <w:pPr>
        <w:spacing w:after="0" w:line="116" w:lineRule="exact"/>
        <w:rPr>
          <w:rFonts w:ascii="Times New Roman" w:cs="Times New Roman" w:eastAsia="Times New Roman" w:hAnsi="Times New Roman"/>
          <w:sz w:val="16"/>
          <w:szCs w:val="16"/>
          <w:color w:val="auto"/>
        </w:rPr>
      </w:pPr>
    </w:p>
    <w:p>
      <w:pPr>
        <w:ind w:left="920" w:hanging="282"/>
        <w:spacing w:after="0"/>
        <w:tabs>
          <w:tab w:leader="none" w:pos="9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Committee Member Service Retainer (not applicable to Committee Chairs)</w:t>
      </w:r>
      <w:r>
        <w:rPr>
          <w:rFonts w:ascii="Times New Roman" w:cs="Times New Roman" w:eastAsia="Times New Roman" w:hAnsi="Times New Roman"/>
          <w:sz w:val="16"/>
          <w:szCs w:val="16"/>
          <w:color w:val="auto"/>
        </w:rPr>
        <w:t>:</w:t>
      </w:r>
    </w:p>
    <w:p>
      <w:pPr>
        <w:spacing w:after="0" w:line="105" w:lineRule="exact"/>
        <w:rPr>
          <w:rFonts w:ascii="Times New Roman" w:cs="Times New Roman" w:eastAsia="Times New Roman" w:hAnsi="Times New Roman"/>
          <w:sz w:val="16"/>
          <w:szCs w:val="16"/>
          <w:color w:val="auto"/>
        </w:rPr>
      </w:pPr>
    </w:p>
    <w:p>
      <w:pPr>
        <w:ind w:left="1220" w:hanging="296"/>
        <w:spacing w:after="0"/>
        <w:tabs>
          <w:tab w:leader="none" w:pos="122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 $10,000</w:t>
      </w:r>
    </w:p>
    <w:p>
      <w:pPr>
        <w:spacing w:after="0" w:line="116" w:lineRule="exact"/>
        <w:rPr>
          <w:rFonts w:ascii="Times New Roman" w:cs="Times New Roman" w:eastAsia="Times New Roman" w:hAnsi="Times New Roman"/>
          <w:sz w:val="16"/>
          <w:szCs w:val="16"/>
          <w:color w:val="auto"/>
        </w:rPr>
      </w:pPr>
    </w:p>
    <w:p>
      <w:pPr>
        <w:ind w:left="1220" w:hanging="296"/>
        <w:spacing w:after="0"/>
        <w:tabs>
          <w:tab w:leader="none" w:pos="122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 $7,500</w:t>
      </w:r>
    </w:p>
    <w:p>
      <w:pPr>
        <w:spacing w:after="0" w:line="116" w:lineRule="exact"/>
        <w:rPr>
          <w:rFonts w:ascii="Times New Roman" w:cs="Times New Roman" w:eastAsia="Times New Roman" w:hAnsi="Times New Roman"/>
          <w:sz w:val="16"/>
          <w:szCs w:val="16"/>
          <w:color w:val="auto"/>
        </w:rPr>
      </w:pPr>
    </w:p>
    <w:p>
      <w:pPr>
        <w:ind w:left="1220" w:hanging="296"/>
        <w:spacing w:after="0"/>
        <w:tabs>
          <w:tab w:leader="none" w:pos="122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 $5,000</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Expenses</w:t>
      </w:r>
    </w:p>
    <w:p>
      <w:pPr>
        <w:spacing w:after="0" w:line="119"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6"/>
          <w:szCs w:val="16"/>
          <w:color w:val="auto"/>
        </w:rPr>
        <w:t>The Company will reimburse Eligible Directors for ordinary, necessary and reasonable out-of-pocket travel expenses to cover in-person attendance at and participation in Board and committee meetings; provided, that the Eligible Director timely submit to the Company appropriate documentation substantiating such expenses in accordance with the Company’s travel and expense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431800</wp:posOffset>
            </wp:positionV>
            <wp:extent cx="56038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6"/>
          <w:szCs w:val="16"/>
          <w:b w:val="1"/>
          <w:bCs w:val="1"/>
          <w:color w:val="auto"/>
        </w:rPr>
        <w:t>Equity Compensation</w:t>
      </w:r>
    </w:p>
    <w:p>
      <w:pPr>
        <w:spacing w:after="0" w:line="115" w:lineRule="exact"/>
        <w:rPr>
          <w:sz w:val="20"/>
          <w:szCs w:val="20"/>
          <w:color w:val="auto"/>
        </w:rPr>
      </w:pPr>
    </w:p>
    <w:p>
      <w:pPr>
        <w:ind w:left="640" w:right="819"/>
        <w:spacing w:after="0" w:line="246" w:lineRule="auto"/>
        <w:rPr>
          <w:sz w:val="20"/>
          <w:szCs w:val="20"/>
          <w:color w:val="auto"/>
        </w:rPr>
      </w:pPr>
      <w:r>
        <w:rPr>
          <w:rFonts w:ascii="Times New Roman" w:cs="Times New Roman" w:eastAsia="Times New Roman" w:hAnsi="Times New Roman"/>
          <w:sz w:val="16"/>
          <w:szCs w:val="16"/>
          <w:color w:val="auto"/>
        </w:rPr>
        <w:t>The equity compensation set forth below will be granted under the Company’s 2021 Equity Incentive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subject to the approval of the Plan by the Company’s stockholders.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81" w:lineRule="exact"/>
        <w:rPr>
          <w:sz w:val="20"/>
          <w:szCs w:val="20"/>
          <w:color w:val="auto"/>
        </w:rPr>
      </w:pPr>
    </w:p>
    <w:p>
      <w:pPr>
        <w:ind w:left="640" w:right="679" w:hanging="2"/>
        <w:spacing w:after="0" w:line="241" w:lineRule="auto"/>
        <w:tabs>
          <w:tab w:leader="none" w:pos="79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Initial Grants</w:t>
      </w:r>
      <w:r>
        <w:rPr>
          <w:rFonts w:ascii="Times New Roman" w:cs="Times New Roman" w:eastAsia="Times New Roman" w:hAnsi="Times New Roman"/>
          <w:sz w:val="16"/>
          <w:szCs w:val="16"/>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 stock option to purchase 247,200 shares of Common Stock (the “</w:t>
      </w:r>
      <w:r>
        <w:rPr>
          <w:rFonts w:ascii="Times New Roman" w:cs="Times New Roman" w:eastAsia="Times New Roman" w:hAnsi="Times New Roman"/>
          <w:sz w:val="16"/>
          <w:szCs w:val="16"/>
          <w:b w:val="1"/>
          <w:bCs w:val="1"/>
          <w:i w:val="1"/>
          <w:iCs w:val="1"/>
          <w:color w:val="auto"/>
        </w:rPr>
        <w:t>Initial Grant</w:t>
      </w:r>
      <w:r>
        <w:rPr>
          <w:rFonts w:ascii="Times New Roman" w:cs="Times New Roman" w:eastAsia="Times New Roman" w:hAnsi="Times New Roman"/>
          <w:sz w:val="16"/>
          <w:szCs w:val="16"/>
          <w:color w:val="auto"/>
        </w:rPr>
        <w:t>”). The shares subject to each Initial Grant will vest over a three-year period, with one-third of the shares subject to the Initial Grant vesting on the first anniversary of the grant date and 1/36th of the shares subject to the Initial Grant vesting in equal monthly installments thereafter, such that the option is fully vested on the third anniversary of the date of grant, subject to the Eligible Director’s Continuous Service (as defined in the Plan) through each such vesting date, and will vest in full upon a Change in Control (as defined in the Plan), subject to the Eligible Director’s Continuous Service (as defined in the Plan) through such date.</w:t>
      </w:r>
    </w:p>
    <w:p>
      <w:pPr>
        <w:spacing w:after="0" w:line="96" w:lineRule="exact"/>
        <w:rPr>
          <w:rFonts w:ascii="Times New Roman" w:cs="Times New Roman" w:eastAsia="Times New Roman" w:hAnsi="Times New Roman"/>
          <w:sz w:val="16"/>
          <w:szCs w:val="16"/>
          <w:color w:val="auto"/>
        </w:rPr>
      </w:pPr>
    </w:p>
    <w:p>
      <w:pPr>
        <w:ind w:left="640" w:right="679" w:hanging="2"/>
        <w:spacing w:after="0" w:line="257" w:lineRule="auto"/>
        <w:tabs>
          <w:tab w:leader="none" w:pos="797"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Annual Grants</w:t>
      </w:r>
      <w:r>
        <w:rPr>
          <w:rFonts w:ascii="Times New Roman" w:cs="Times New Roman" w:eastAsia="Times New Roman" w:hAnsi="Times New Roman"/>
          <w:sz w:val="15"/>
          <w:szCs w:val="15"/>
          <w:color w:val="auto"/>
        </w:rPr>
        <w:t>: On the date of each annual stockholder meeting of the Company held after the Effective Date, each Eligible Director who continues to serve as a non-employee member of the Board following such stockholder meeting (excluding any Eligible Director who is first appointed or elected by the Board at such meeting) will be automatically, and without further action by the Board or the Compensation Committee of the Board, granted a stock option to purchase 123,600 shares of Common Stock (the “</w:t>
      </w:r>
      <w:r>
        <w:rPr>
          <w:rFonts w:ascii="Times New Roman" w:cs="Times New Roman" w:eastAsia="Times New Roman" w:hAnsi="Times New Roman"/>
          <w:sz w:val="15"/>
          <w:szCs w:val="15"/>
          <w:b w:val="1"/>
          <w:bCs w:val="1"/>
          <w:i w:val="1"/>
          <w:iCs w:val="1"/>
          <w:color w:val="auto"/>
        </w:rPr>
        <w:t>Annual Grant</w:t>
      </w:r>
      <w:r>
        <w:rPr>
          <w:rFonts w:ascii="Times New Roman" w:cs="Times New Roman" w:eastAsia="Times New Roman" w:hAnsi="Times New Roman"/>
          <w:sz w:val="15"/>
          <w:szCs w:val="15"/>
          <w:color w:val="auto"/>
        </w:rPr>
        <w:t>”). The shares subject to the Annual Grant will vest in full on the first anniversary of the date of grant, subject to the Eligible Director’s Continuous Service (as defined in the Plan) through each such vesting date; provided, that the Annual Grant will in any case be fully vested on the date of Company’s next annual stockholder meeting, subject to the Eligible Director’s Continuous Service (as defined in the Plan) through such vesting date; provided, further, that the Annual Grant will vest in full upon a Change in Control (as defined in the Plan), subject to the Eligible Director’s Continuous Service (as defined in the Plan) through such date. With respect to an Eligible Director who, following the Effective Date, was first elected or appointed to the Board on a date other than the date of the Company’s annual stockholder meeting, upon the Company’s first annual stockholder meeting following such Eligible Director’s first joining the Board, such Eligible Director’s first Annual Grant will be pro-rated to reflect the time between such Eligible Director’s election or appointment date and the date of such first annual stockholder meeting.</w:t>
      </w:r>
    </w:p>
    <w:p>
      <w:pPr>
        <w:spacing w:after="0" w:line="2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u w:val="single" w:color="auto"/>
          <w:color w:val="auto"/>
        </w:rPr>
        <w:t>Non-Employee Director Compensation Limit</w:t>
      </w:r>
    </w:p>
    <w:p>
      <w:pPr>
        <w:spacing w:after="0" w:line="17" w:lineRule="exact"/>
        <w:rPr>
          <w:sz w:val="20"/>
          <w:szCs w:val="20"/>
          <w:color w:val="auto"/>
        </w:rPr>
      </w:pPr>
    </w:p>
    <w:p>
      <w:pPr>
        <w:ind w:left="640" w:right="659"/>
        <w:spacing w:after="0"/>
        <w:rPr>
          <w:sz w:val="20"/>
          <w:szCs w:val="20"/>
          <w:color w:val="auto"/>
        </w:rPr>
      </w:pPr>
      <w:r>
        <w:rPr>
          <w:rFonts w:ascii="Times New Roman" w:cs="Times New Roman" w:eastAsia="Times New Roman" w:hAnsi="Times New Roman"/>
          <w:sz w:val="16"/>
          <w:szCs w:val="16"/>
          <w:color w:val="auto"/>
        </w:rPr>
        <w:t>Notwithstanding the foregoing, the aggregate value of all compensation granted or paid, as applicable, to any individual for service as a Non-Employee Director (as defined in the Plan) shall in no event exceed the limits set forth in Section 3(d)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544195</wp:posOffset>
            </wp:positionV>
            <wp:extent cx="56038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06" w:right="1440" w:bottom="1440" w:gutter="0" w:footer="0" w:header="0"/>
        </w:sectPr>
      </w:pPr>
    </w:p>
    <w:bookmarkStart w:id="39" w:name="page40"/>
    <w:bookmarkEnd w:id="39"/>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282828"/>
        </w:rPr>
        <w:t>FIRST AMENDMENT TO COLLABORATION AGREEMENT</w:t>
      </w:r>
    </w:p>
    <w:p>
      <w:pPr>
        <w:spacing w:after="0" w:line="76" w:lineRule="exact"/>
        <w:rPr>
          <w:sz w:val="20"/>
          <w:szCs w:val="20"/>
          <w:color w:val="auto"/>
        </w:rPr>
      </w:pPr>
    </w:p>
    <w:p>
      <w:pPr>
        <w:jc w:val="both"/>
        <w:ind w:left="960" w:right="919" w:firstLine="516"/>
        <w:spacing w:after="0" w:line="247" w:lineRule="auto"/>
        <w:rPr>
          <w:sz w:val="20"/>
          <w:szCs w:val="20"/>
          <w:color w:val="auto"/>
        </w:rPr>
      </w:pPr>
      <w:r>
        <w:rPr>
          <w:rFonts w:ascii="Times New Roman" w:cs="Times New Roman" w:eastAsia="Times New Roman" w:hAnsi="Times New Roman"/>
          <w:sz w:val="16"/>
          <w:szCs w:val="16"/>
          <w:color w:val="2E2E2C"/>
        </w:rPr>
        <w:t>This First Amendment to the Collaboration Agreement (this "First Amendment") is entered into as of January 13, 2026 by and between Rani Therapeutics, LLC, a California limited liability company ("Rani"), and ProGen Co., Ltd. ("ProGen"). Capitalized terms used but not defined herein shall have the meanings assigned to them in the Agreement.</w:t>
      </w:r>
    </w:p>
    <w:p>
      <w:pPr>
        <w:spacing w:after="0" w:line="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282828"/>
        </w:rPr>
        <w:t>Recitals</w:t>
      </w:r>
    </w:p>
    <w:p>
      <w:pPr>
        <w:spacing w:after="0" w:line="76" w:lineRule="exact"/>
        <w:rPr>
          <w:sz w:val="20"/>
          <w:szCs w:val="20"/>
          <w:color w:val="auto"/>
        </w:rPr>
      </w:pPr>
    </w:p>
    <w:p>
      <w:pPr>
        <w:jc w:val="both"/>
        <w:ind w:left="960" w:right="919" w:hanging="5"/>
        <w:spacing w:after="0" w:line="267" w:lineRule="auto"/>
        <w:rPr>
          <w:sz w:val="20"/>
          <w:szCs w:val="20"/>
          <w:color w:val="auto"/>
        </w:rPr>
      </w:pPr>
      <w:r>
        <w:rPr>
          <w:rFonts w:ascii="Times New Roman" w:cs="Times New Roman" w:eastAsia="Times New Roman" w:hAnsi="Times New Roman"/>
          <w:sz w:val="16"/>
          <w:szCs w:val="16"/>
          <w:color w:val="2C2C2C"/>
        </w:rPr>
        <w:t>WHEREAS, Rani and ProGen are parties to that certain Collaboration Agreement dated June 17, 2024 (the "Agreement");</w:t>
      </w:r>
    </w:p>
    <w:p>
      <w:pPr>
        <w:spacing w:after="0" w:line="63" w:lineRule="exact"/>
        <w:rPr>
          <w:sz w:val="20"/>
          <w:szCs w:val="20"/>
          <w:color w:val="auto"/>
        </w:rPr>
      </w:pPr>
    </w:p>
    <w:p>
      <w:pPr>
        <w:jc w:val="both"/>
        <w:ind w:left="960" w:right="919" w:firstLine="3"/>
        <w:spacing w:after="0" w:line="267" w:lineRule="auto"/>
        <w:rPr>
          <w:sz w:val="20"/>
          <w:szCs w:val="20"/>
          <w:color w:val="auto"/>
        </w:rPr>
      </w:pPr>
      <w:r>
        <w:rPr>
          <w:rFonts w:ascii="Times New Roman" w:cs="Times New Roman" w:eastAsia="Times New Roman" w:hAnsi="Times New Roman"/>
          <w:sz w:val="16"/>
          <w:szCs w:val="16"/>
          <w:color w:val="2C2C2C"/>
        </w:rPr>
        <w:t>WHEREAS, pursuant to Section 10.5.3 (Non-Program Data) of the Agreement, ProGen has the right to publicly disclose, publish and/or present Compound-Specific Data without requiring prior consent of Rani;</w:t>
      </w:r>
    </w:p>
    <w:p>
      <w:pPr>
        <w:spacing w:after="0" w:line="52" w:lineRule="exact"/>
        <w:rPr>
          <w:sz w:val="20"/>
          <w:szCs w:val="20"/>
          <w:color w:val="auto"/>
        </w:rPr>
      </w:pPr>
    </w:p>
    <w:p>
      <w:pPr>
        <w:jc w:val="both"/>
        <w:ind w:left="960" w:right="919" w:firstLine="3"/>
        <w:spacing w:after="0" w:line="252" w:lineRule="auto"/>
        <w:rPr>
          <w:sz w:val="20"/>
          <w:szCs w:val="20"/>
          <w:color w:val="auto"/>
        </w:rPr>
      </w:pPr>
      <w:r>
        <w:rPr>
          <w:rFonts w:ascii="Times New Roman" w:cs="Times New Roman" w:eastAsia="Times New Roman" w:hAnsi="Times New Roman"/>
          <w:sz w:val="16"/>
          <w:szCs w:val="16"/>
          <w:color w:val="2C2C2C"/>
        </w:rPr>
        <w:t>WHEREAS, Rani and ProGen wish to amend Section 10.5.3 (Non-Program Data) of the Agreement to coordinate the disclosure of certain Compound-Specific Data with the disclosure of Program Data, and leave all other terms unchanged;</w:t>
      </w:r>
    </w:p>
    <w:p>
      <w:pPr>
        <w:spacing w:after="0" w:line="76" w:lineRule="exact"/>
        <w:rPr>
          <w:sz w:val="20"/>
          <w:szCs w:val="20"/>
          <w:color w:val="auto"/>
        </w:rPr>
      </w:pPr>
    </w:p>
    <w:p>
      <w:pPr>
        <w:jc w:val="both"/>
        <w:ind w:left="960" w:right="919" w:hanging="4"/>
        <w:spacing w:after="0" w:line="267" w:lineRule="auto"/>
        <w:rPr>
          <w:sz w:val="20"/>
          <w:szCs w:val="20"/>
          <w:color w:val="auto"/>
        </w:rPr>
      </w:pPr>
      <w:r>
        <w:rPr>
          <w:rFonts w:ascii="Times New Roman" w:cs="Times New Roman" w:eastAsia="Times New Roman" w:hAnsi="Times New Roman"/>
          <w:sz w:val="16"/>
          <w:szCs w:val="16"/>
          <w:color w:val="2D2D2D"/>
        </w:rPr>
        <w:t>NOW, THEREFORE, in consideration of the mutual covenants and agreements set forth herein, the parties hereby agree as follows:</w:t>
      </w:r>
    </w:p>
    <w:p>
      <w:pPr>
        <w:spacing w:after="0" w:line="72" w:lineRule="exact"/>
        <w:rPr>
          <w:sz w:val="20"/>
          <w:szCs w:val="20"/>
          <w:color w:val="auto"/>
        </w:rPr>
      </w:pPr>
    </w:p>
    <w:p>
      <w:pPr>
        <w:ind w:left="960" w:right="2399" w:firstLine="28"/>
        <w:spacing w:after="0" w:line="403" w:lineRule="auto"/>
        <w:tabs>
          <w:tab w:leader="none" w:pos="1326" w:val="left"/>
        </w:tabs>
        <w:numPr>
          <w:ilvl w:val="0"/>
          <w:numId w:val="15"/>
        </w:numPr>
        <w:rPr>
          <w:rFonts w:ascii="Times New Roman" w:cs="Times New Roman" w:eastAsia="Times New Roman" w:hAnsi="Times New Roman"/>
          <w:sz w:val="15"/>
          <w:szCs w:val="15"/>
          <w:b w:val="1"/>
          <w:bCs w:val="1"/>
          <w:color w:val="282828"/>
        </w:rPr>
      </w:pPr>
      <w:r>
        <w:rPr>
          <w:rFonts w:ascii="Times New Roman" w:cs="Times New Roman" w:eastAsia="Times New Roman" w:hAnsi="Times New Roman"/>
          <w:sz w:val="15"/>
          <w:szCs w:val="15"/>
          <w:b w:val="1"/>
          <w:bCs w:val="1"/>
          <w:color w:val="282828"/>
        </w:rPr>
        <w:t xml:space="preserve">First Amendment to Section 10.5.3 (Non-Program Data) of the Agreement </w:t>
      </w:r>
      <w:r>
        <w:rPr>
          <w:rFonts w:ascii="Times New Roman" w:cs="Times New Roman" w:eastAsia="Times New Roman" w:hAnsi="Times New Roman"/>
          <w:sz w:val="15"/>
          <w:szCs w:val="15"/>
          <w:color w:val="2D2D2D"/>
        </w:rPr>
        <w:t>Section 10.5.3 of the Agreement is hereby amended and restated in its entirety as follows:</w:t>
      </w:r>
    </w:p>
    <w:p>
      <w:pPr>
        <w:spacing w:after="0" w:line="1" w:lineRule="exact"/>
        <w:rPr>
          <w:sz w:val="20"/>
          <w:szCs w:val="20"/>
          <w:color w:val="auto"/>
        </w:rPr>
      </w:pPr>
    </w:p>
    <w:p>
      <w:pPr>
        <w:jc w:val="both"/>
        <w:ind w:left="960" w:right="919" w:firstLine="26"/>
        <w:spacing w:after="0" w:line="242" w:lineRule="auto"/>
        <w:rPr>
          <w:sz w:val="20"/>
          <w:szCs w:val="20"/>
          <w:color w:val="auto"/>
        </w:rPr>
      </w:pPr>
      <w:r>
        <w:rPr>
          <w:rFonts w:ascii="Times New Roman" w:cs="Times New Roman" w:eastAsia="Times New Roman" w:hAnsi="Times New Roman"/>
          <w:sz w:val="16"/>
          <w:szCs w:val="16"/>
          <w:color w:val="2C2C2C"/>
        </w:rPr>
        <w:t xml:space="preserve">10.5.3 </w:t>
      </w:r>
      <w:r>
        <w:rPr>
          <w:rFonts w:ascii="Times New Roman" w:cs="Times New Roman" w:eastAsia="Times New Roman" w:hAnsi="Times New Roman"/>
          <w:sz w:val="16"/>
          <w:szCs w:val="16"/>
          <w:i w:val="1"/>
          <w:iCs w:val="1"/>
          <w:color w:val="2C2C2C"/>
        </w:rPr>
        <w:t>Non-Program Data.</w:t>
      </w:r>
      <w:r>
        <w:rPr>
          <w:rFonts w:ascii="Times New Roman" w:cs="Times New Roman" w:eastAsia="Times New Roman" w:hAnsi="Times New Roman"/>
          <w:sz w:val="16"/>
          <w:szCs w:val="16"/>
          <w:color w:val="2C2C2C"/>
        </w:rPr>
        <w:t xml:space="preserve"> Notwithstanding anything to the contrary herein, Rani shall have the right to publicly disclose, publish and/or present Oral Delivery Data and ProGen shall have the right to publicly disclose, publish and/or present Compound-Specific Data, in each case without requiring prior consent; </w:t>
      </w:r>
      <w:r>
        <w:rPr>
          <w:rFonts w:ascii="Times New Roman" w:cs="Times New Roman" w:eastAsia="Times New Roman" w:hAnsi="Times New Roman"/>
          <w:sz w:val="16"/>
          <w:szCs w:val="16"/>
          <w:i w:val="1"/>
          <w:iCs w:val="1"/>
          <w:color w:val="2C2C2C"/>
        </w:rPr>
        <w:t>provided however,</w:t>
      </w:r>
      <w:r>
        <w:rPr>
          <w:rFonts w:ascii="Times New Roman" w:cs="Times New Roman" w:eastAsia="Times New Roman" w:hAnsi="Times New Roman"/>
          <w:sz w:val="16"/>
          <w:szCs w:val="16"/>
          <w:color w:val="2C2C2C"/>
        </w:rPr>
        <w:t xml:space="preserve"> that ProGen and Rani shall coordinate and align the timing of disclosure of any Compound-Specific Data relating to the treatment of obesity (including non-oral delivery of Compound) with the timing of disclosure of any Program Data. For clarity, Rani shall have the right to publish and/or present Program Data aggregated in an anonymized manner with other data regarding the Oral Delivery Technology (e.g., delivery success rate, number of individuals to whom the Device has been administered, Device-related safety data).</w:t>
      </w:r>
    </w:p>
    <w:p>
      <w:pPr>
        <w:spacing w:after="0" w:line="84" w:lineRule="exact"/>
        <w:rPr>
          <w:sz w:val="20"/>
          <w:szCs w:val="20"/>
          <w:color w:val="auto"/>
        </w:rPr>
      </w:pPr>
    </w:p>
    <w:p>
      <w:pPr>
        <w:ind w:left="1320" w:hanging="332"/>
        <w:spacing w:after="0"/>
        <w:tabs>
          <w:tab w:leader="none" w:pos="1320" w:val="left"/>
        </w:tabs>
        <w:numPr>
          <w:ilvl w:val="0"/>
          <w:numId w:val="16"/>
        </w:numPr>
        <w:rPr>
          <w:rFonts w:ascii="Times New Roman" w:cs="Times New Roman" w:eastAsia="Times New Roman" w:hAnsi="Times New Roman"/>
          <w:sz w:val="16"/>
          <w:szCs w:val="16"/>
          <w:b w:val="1"/>
          <w:bCs w:val="1"/>
          <w:color w:val="282828"/>
        </w:rPr>
      </w:pPr>
      <w:r>
        <w:rPr>
          <w:rFonts w:ascii="Times New Roman" w:cs="Times New Roman" w:eastAsia="Times New Roman" w:hAnsi="Times New Roman"/>
          <w:sz w:val="16"/>
          <w:szCs w:val="16"/>
          <w:b w:val="1"/>
          <w:bCs w:val="1"/>
          <w:color w:val="282828"/>
        </w:rPr>
        <w:t>No Other Changes</w:t>
      </w:r>
    </w:p>
    <w:p>
      <w:pPr>
        <w:spacing w:after="0" w:line="76" w:lineRule="exact"/>
        <w:rPr>
          <w:sz w:val="20"/>
          <w:szCs w:val="20"/>
          <w:color w:val="auto"/>
        </w:rPr>
      </w:pPr>
    </w:p>
    <w:p>
      <w:pPr>
        <w:jc w:val="both"/>
        <w:ind w:left="960" w:right="919" w:firstLine="1"/>
        <w:spacing w:after="0" w:line="301" w:lineRule="auto"/>
        <w:rPr>
          <w:sz w:val="20"/>
          <w:szCs w:val="20"/>
          <w:color w:val="auto"/>
        </w:rPr>
      </w:pPr>
      <w:r>
        <w:rPr>
          <w:rFonts w:ascii="Times New Roman" w:cs="Times New Roman" w:eastAsia="Times New Roman" w:hAnsi="Times New Roman"/>
          <w:sz w:val="15"/>
          <w:szCs w:val="15"/>
          <w:color w:val="2C2C2C"/>
        </w:rPr>
        <w:t>Except as expressly amended by this First Amendment, all terms, conditions, covenants, representations, and warranties contained in the Agreement shall remain in full force and effect and are hereby ratified and confirmed.</w:t>
      </w:r>
    </w:p>
    <w:p>
      <w:pPr>
        <w:spacing w:after="0" w:line="49" w:lineRule="exact"/>
        <w:rPr>
          <w:sz w:val="20"/>
          <w:szCs w:val="20"/>
          <w:color w:val="auto"/>
        </w:rPr>
      </w:pPr>
    </w:p>
    <w:p>
      <w:pPr>
        <w:ind w:left="1320" w:hanging="332"/>
        <w:spacing w:after="0"/>
        <w:tabs>
          <w:tab w:leader="none" w:pos="1320" w:val="left"/>
        </w:tabs>
        <w:numPr>
          <w:ilvl w:val="0"/>
          <w:numId w:val="17"/>
        </w:numPr>
        <w:rPr>
          <w:rFonts w:ascii="Times New Roman" w:cs="Times New Roman" w:eastAsia="Times New Roman" w:hAnsi="Times New Roman"/>
          <w:sz w:val="16"/>
          <w:szCs w:val="16"/>
          <w:b w:val="1"/>
          <w:bCs w:val="1"/>
          <w:color w:val="282828"/>
        </w:rPr>
      </w:pPr>
      <w:r>
        <w:rPr>
          <w:rFonts w:ascii="Times New Roman" w:cs="Times New Roman" w:eastAsia="Times New Roman" w:hAnsi="Times New Roman"/>
          <w:sz w:val="16"/>
          <w:szCs w:val="16"/>
          <w:b w:val="1"/>
          <w:bCs w:val="1"/>
          <w:color w:val="282828"/>
        </w:rPr>
        <w:t>Counterparts</w:t>
      </w:r>
    </w:p>
    <w:p>
      <w:pPr>
        <w:spacing w:after="0" w:line="76" w:lineRule="exact"/>
        <w:rPr>
          <w:sz w:val="20"/>
          <w:szCs w:val="20"/>
          <w:color w:val="auto"/>
        </w:rPr>
      </w:pPr>
    </w:p>
    <w:p>
      <w:pPr>
        <w:jc w:val="both"/>
        <w:ind w:left="960" w:right="899" w:firstLine="1"/>
        <w:spacing w:after="0" w:line="252" w:lineRule="auto"/>
        <w:rPr>
          <w:sz w:val="20"/>
          <w:szCs w:val="20"/>
          <w:color w:val="auto"/>
        </w:rPr>
      </w:pPr>
      <w:r>
        <w:rPr>
          <w:rFonts w:ascii="Times New Roman" w:cs="Times New Roman" w:eastAsia="Times New Roman" w:hAnsi="Times New Roman"/>
          <w:sz w:val="16"/>
          <w:szCs w:val="16"/>
          <w:color w:val="2C2C2C"/>
        </w:rPr>
        <w:t>This First Amendment may be executed in one or more counterparts, each of which shall be deemed an original, and all of which together shall constitute one and the same instrument. Signatures delivered electronically or by PDF shall be deemed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1056640</wp:posOffset>
            </wp:positionV>
            <wp:extent cx="56038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40" w:name="page41"/>
    <w:bookmarkEnd w:id="40"/>
    <w:p>
      <w:pPr>
        <w:ind w:left="960" w:right="919"/>
        <w:spacing w:after="0" w:line="269" w:lineRule="auto"/>
        <w:rPr>
          <w:sz w:val="20"/>
          <w:szCs w:val="20"/>
          <w:color w:val="auto"/>
        </w:rPr>
      </w:pPr>
      <w:r>
        <w:rPr>
          <w:rFonts w:ascii="Times New Roman" w:cs="Times New Roman" w:eastAsia="Times New Roman" w:hAnsi="Times New Roman"/>
          <w:sz w:val="16"/>
          <w:szCs w:val="16"/>
          <w:b w:val="1"/>
          <w:bCs w:val="1"/>
          <w:color w:val="2A2A2A"/>
        </w:rPr>
        <w:t xml:space="preserve">IN WITNESS WHEREOF, </w:t>
      </w:r>
      <w:r>
        <w:rPr>
          <w:rFonts w:ascii="Times New Roman" w:cs="Times New Roman" w:eastAsia="Times New Roman" w:hAnsi="Times New Roman"/>
          <w:sz w:val="16"/>
          <w:szCs w:val="16"/>
          <w:color w:val="2A2A2A"/>
        </w:rPr>
        <w:t>the parties hereto have executed this First Amendment as of the date first above</w:t>
      </w:r>
      <w:r>
        <w:rPr>
          <w:rFonts w:ascii="Times New Roman" w:cs="Times New Roman" w:eastAsia="Times New Roman" w:hAnsi="Times New Roman"/>
          <w:sz w:val="16"/>
          <w:szCs w:val="16"/>
          <w:b w:val="1"/>
          <w:bCs w:val="1"/>
          <w:color w:val="2A2A2A"/>
        </w:rPr>
        <w:t xml:space="preserve"> </w:t>
      </w:r>
      <w:r>
        <w:rPr>
          <w:rFonts w:ascii="Times New Roman" w:cs="Times New Roman" w:eastAsia="Times New Roman" w:hAnsi="Times New Roman"/>
          <w:sz w:val="16"/>
          <w:szCs w:val="16"/>
          <w:color w:val="2A2A2A"/>
        </w:rPr>
        <w:t>written.</w:t>
      </w:r>
    </w:p>
    <w:p>
      <w:pPr>
        <w:spacing w:after="0" w:line="200" w:lineRule="exact"/>
        <w:rPr>
          <w:sz w:val="20"/>
          <w:szCs w:val="20"/>
          <w:color w:val="auto"/>
        </w:rPr>
      </w:pPr>
    </w:p>
    <w:p>
      <w:pPr>
        <w:spacing w:after="0" w:line="30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b w:val="1"/>
          <w:bCs w:val="1"/>
          <w:color w:val="282828"/>
        </w:rPr>
        <w:t>RANI THERAPEUTICS, LLC</w:t>
      </w:r>
    </w:p>
    <w:p>
      <w:pPr>
        <w:spacing w:after="0" w:line="3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By:</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Name: Talat Imran</w:t>
      </w:r>
    </w:p>
    <w:p>
      <w:pPr>
        <w:ind w:left="960"/>
        <w:spacing w:after="0" w:line="235" w:lineRule="auto"/>
        <w:rPr>
          <w:sz w:val="20"/>
          <w:szCs w:val="20"/>
          <w:color w:val="auto"/>
        </w:rPr>
      </w:pPr>
      <w:r>
        <w:rPr>
          <w:rFonts w:ascii="Times New Roman" w:cs="Times New Roman" w:eastAsia="Times New Roman" w:hAnsi="Times New Roman"/>
          <w:sz w:val="16"/>
          <w:szCs w:val="16"/>
          <w:color w:val="auto"/>
        </w:rPr>
        <w:t>Title: CEO</w:t>
      </w:r>
    </w:p>
    <w:p>
      <w:pPr>
        <w:ind w:left="960"/>
        <w:spacing w:after="0"/>
        <w:rPr>
          <w:sz w:val="20"/>
          <w:szCs w:val="20"/>
          <w:color w:val="auto"/>
        </w:rPr>
      </w:pPr>
      <w:r>
        <w:rPr>
          <w:rFonts w:ascii="Arial" w:cs="Arial" w:eastAsia="Arial" w:hAnsi="Arial"/>
          <w:sz w:val="12"/>
          <w:szCs w:val="12"/>
          <w:color w:val="auto"/>
        </w:rPr>
        <w:t>1/13/2026</w:t>
      </w:r>
    </w:p>
    <w:p>
      <w:pPr>
        <w:spacing w:after="0" w:line="2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b w:val="1"/>
          <w:bCs w:val="1"/>
          <w:color w:val="auto"/>
        </w:rPr>
        <w:t>PROGEN CO, LTD</w:t>
      </w:r>
    </w:p>
    <w:p>
      <w:pPr>
        <w:spacing w:after="0" w:line="200" w:lineRule="exact"/>
        <w:rPr>
          <w:sz w:val="20"/>
          <w:szCs w:val="20"/>
          <w:color w:val="auto"/>
        </w:rPr>
      </w:pP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By:</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Name: Dr. Jongyyun Kim</w:t>
      </w:r>
    </w:p>
    <w:p>
      <w:pPr>
        <w:ind w:left="960"/>
        <w:spacing w:after="0"/>
        <w:rPr>
          <w:sz w:val="20"/>
          <w:szCs w:val="20"/>
          <w:color w:val="auto"/>
        </w:rPr>
      </w:pPr>
      <w:r>
        <w:rPr>
          <w:rFonts w:ascii="Times New Roman" w:cs="Times New Roman" w:eastAsia="Times New Roman" w:hAnsi="Times New Roman"/>
          <w:sz w:val="16"/>
          <w:szCs w:val="16"/>
          <w:color w:val="auto"/>
        </w:rPr>
        <w:t>Title: CEO and the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668655</wp:posOffset>
            </wp:positionV>
            <wp:extent cx="56038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41" w:name="page42"/>
    <w:bookmarkEnd w:id="41"/>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 Talat Imran, certify that:</w:t>
      </w:r>
    </w:p>
    <w:p>
      <w:pPr>
        <w:spacing w:after="0" w:line="183" w:lineRule="exact"/>
        <w:rPr>
          <w:sz w:val="20"/>
          <w:szCs w:val="20"/>
          <w:color w:val="auto"/>
        </w:rPr>
      </w:pPr>
    </w:p>
    <w:p>
      <w:pPr>
        <w:ind w:left="1660" w:hanging="507"/>
        <w:spacing w:after="0"/>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Rani Therapeutics Holdings, Inc.;</w:t>
      </w:r>
    </w:p>
    <w:p>
      <w:pPr>
        <w:spacing w:after="0" w:line="182"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07"/>
        <w:spacing w:after="0" w:line="271"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3"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4"/>
          <w:szCs w:val="14"/>
          <w:color w:val="auto"/>
        </w:rPr>
      </w:pPr>
    </w:p>
    <w:p>
      <w:pPr>
        <w:jc w:val="both"/>
        <w:ind w:left="2180" w:right="1159" w:hanging="511"/>
        <w:spacing w:after="0" w:line="274"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jc w:val="both"/>
        <w:ind w:left="2180" w:right="1159" w:hanging="511"/>
        <w:spacing w:after="0" w:line="274"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180" w:right="1159" w:hanging="511"/>
        <w:spacing w:after="0" w:line="292"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784225</wp:posOffset>
            </wp:positionV>
            <wp:extent cx="56038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2" w:name="page43"/>
    <w:bookmarkEnd w:id="42"/>
    <w:p>
      <w:pPr>
        <w:ind w:left="1160"/>
        <w:spacing w:after="0"/>
        <w:rPr>
          <w:sz w:val="20"/>
          <w:szCs w:val="20"/>
          <w:color w:val="auto"/>
        </w:rPr>
      </w:pPr>
      <w:r>
        <w:rPr>
          <w:rFonts w:ascii="Times New Roman" w:cs="Times New Roman" w:eastAsia="Times New Roman" w:hAnsi="Times New Roman"/>
          <w:sz w:val="14"/>
          <w:szCs w:val="14"/>
          <w:color w:val="auto"/>
        </w:rPr>
        <w:t>Date: May 15, 2026</w:t>
      </w:r>
    </w:p>
    <w:p>
      <w:pPr>
        <w:spacing w:after="0" w:line="2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/s/ Talat Imran</w:t>
      </w:r>
    </w:p>
    <w:p>
      <w:pPr>
        <w:spacing w:after="0" w:line="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-99060</wp:posOffset>
            </wp:positionV>
            <wp:extent cx="169100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1691005" cy="6985"/>
                    </a:xfrm>
                    <a:prstGeom prst="rect">
                      <a:avLst/>
                    </a:prstGeom>
                    <a:noFill/>
                  </pic:spPr>
                </pic:pic>
              </a:graphicData>
            </a:graphic>
          </wp:anchor>
        </w:drawing>
      </w:r>
    </w:p>
    <w:p>
      <w:pPr>
        <w:spacing w:after="0" w:line="5"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1"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813435</wp:posOffset>
            </wp:positionV>
            <wp:extent cx="560387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43" w:name="page44"/>
    <w:bookmarkEnd w:id="43"/>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 Svai Sanford, certify that:</w:t>
      </w:r>
    </w:p>
    <w:p>
      <w:pPr>
        <w:spacing w:after="0" w:line="183" w:lineRule="exact"/>
        <w:rPr>
          <w:sz w:val="20"/>
          <w:szCs w:val="20"/>
          <w:color w:val="auto"/>
        </w:rPr>
      </w:pPr>
    </w:p>
    <w:p>
      <w:pPr>
        <w:ind w:left="1660" w:hanging="507"/>
        <w:spacing w:after="0"/>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Rani Therapeutics Holdings, Inc.;</w:t>
      </w:r>
    </w:p>
    <w:p>
      <w:pPr>
        <w:spacing w:after="0" w:line="182"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07"/>
        <w:spacing w:after="0" w:line="271"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3"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4"/>
          <w:szCs w:val="14"/>
          <w:color w:val="auto"/>
        </w:rPr>
      </w:pPr>
    </w:p>
    <w:p>
      <w:pPr>
        <w:jc w:val="both"/>
        <w:ind w:left="2180" w:right="1159" w:hanging="511"/>
        <w:spacing w:after="0" w:line="274" w:lineRule="auto"/>
        <w:tabs>
          <w:tab w:leader="none" w:pos="218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jc w:val="both"/>
        <w:ind w:left="2180" w:right="1159" w:hanging="511"/>
        <w:spacing w:after="0" w:line="274" w:lineRule="auto"/>
        <w:tabs>
          <w:tab w:leader="none" w:pos="218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180" w:right="1159" w:hanging="511"/>
        <w:spacing w:after="0" w:line="292" w:lineRule="auto"/>
        <w:tabs>
          <w:tab w:leader="none" w:pos="218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784225</wp:posOffset>
            </wp:positionV>
            <wp:extent cx="56038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4" w:name="page45"/>
    <w:bookmarkEnd w:id="44"/>
    <w:p>
      <w:pPr>
        <w:ind w:left="1160"/>
        <w:spacing w:after="0"/>
        <w:rPr>
          <w:sz w:val="20"/>
          <w:szCs w:val="20"/>
          <w:color w:val="auto"/>
        </w:rPr>
      </w:pPr>
      <w:r>
        <w:rPr>
          <w:rFonts w:ascii="Times New Roman" w:cs="Times New Roman" w:eastAsia="Times New Roman" w:hAnsi="Times New Roman"/>
          <w:sz w:val="14"/>
          <w:szCs w:val="14"/>
          <w:color w:val="auto"/>
        </w:rPr>
        <w:t>Date: May 15, 2026</w:t>
      </w:r>
    </w:p>
    <w:p>
      <w:pPr>
        <w:spacing w:after="0" w:line="20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 Svai Sanford</w:t>
      </w:r>
    </w:p>
    <w:p>
      <w:pPr>
        <w:spacing w:after="0" w:line="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-100965</wp:posOffset>
            </wp:positionV>
            <wp:extent cx="169799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1697990" cy="6985"/>
                    </a:xfrm>
                    <a:prstGeom prst="rect">
                      <a:avLst/>
                    </a:prstGeom>
                    <a:noFill/>
                  </pic:spPr>
                </pic:pic>
              </a:graphicData>
            </a:graphic>
          </wp:anchor>
        </w:drawing>
      </w:r>
    </w:p>
    <w:p>
      <w:pPr>
        <w:spacing w:after="0" w:line="2"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1"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813435</wp:posOffset>
            </wp:positionV>
            <wp:extent cx="560387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45" w:name="page46"/>
    <w:bookmarkEnd w:id="45"/>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7" w:lineRule="exact"/>
        <w:rPr>
          <w:sz w:val="20"/>
          <w:szCs w:val="20"/>
          <w:color w:val="auto"/>
        </w:rPr>
      </w:pPr>
    </w:p>
    <w:p>
      <w:pPr>
        <w:jc w:val="both"/>
        <w:ind w:left="1160" w:right="1179"/>
        <w:spacing w:after="0" w:line="261"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knowledge:</w:t>
      </w:r>
    </w:p>
    <w:p>
      <w:pPr>
        <w:spacing w:after="0" w:line="145" w:lineRule="exact"/>
        <w:rPr>
          <w:sz w:val="20"/>
          <w:szCs w:val="20"/>
          <w:color w:val="auto"/>
        </w:rPr>
      </w:pPr>
    </w:p>
    <w:p>
      <w:pPr>
        <w:jc w:val="both"/>
        <w:ind w:left="1660" w:right="1159" w:hanging="507"/>
        <w:spacing w:after="0" w:line="266" w:lineRule="auto"/>
        <w:tabs>
          <w:tab w:leader="none" w:pos="1660" w:val="left"/>
        </w:tabs>
        <w:numPr>
          <w:ilvl w:val="0"/>
          <w:numId w:val="20"/>
        </w:numPr>
        <w:rPr>
          <w:rFonts w:ascii="Calibri" w:cs="Calibri" w:eastAsia="Calibri" w:hAnsi="Calibri"/>
          <w:sz w:val="14"/>
          <w:szCs w:val="14"/>
          <w:b w:val="1"/>
          <w:bCs w:val="1"/>
          <w:color w:val="auto"/>
        </w:rPr>
      </w:pPr>
      <w:r>
        <w:rPr>
          <w:rFonts w:ascii="Times New Roman" w:cs="Times New Roman" w:eastAsia="Times New Roman" w:hAnsi="Times New Roman"/>
          <w:sz w:val="14"/>
          <w:szCs w:val="14"/>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141" w:lineRule="exact"/>
        <w:rPr>
          <w:rFonts w:ascii="Calibri" w:cs="Calibri" w:eastAsia="Calibri" w:hAnsi="Calibri"/>
          <w:sz w:val="14"/>
          <w:szCs w:val="14"/>
          <w:b w:val="1"/>
          <w:bCs w:val="1"/>
          <w:color w:val="auto"/>
        </w:rPr>
      </w:pPr>
    </w:p>
    <w:p>
      <w:pPr>
        <w:ind w:left="1660" w:right="1159" w:hanging="507"/>
        <w:spacing w:after="0" w:line="278" w:lineRule="auto"/>
        <w:tabs>
          <w:tab w:leader="none" w:pos="1660" w:val="left"/>
        </w:tabs>
        <w:numPr>
          <w:ilvl w:val="0"/>
          <w:numId w:val="20"/>
        </w:numPr>
        <w:rPr>
          <w:rFonts w:ascii="Calibri" w:cs="Calibri" w:eastAsia="Calibri" w:hAnsi="Calibri"/>
          <w:sz w:val="14"/>
          <w:szCs w:val="14"/>
          <w:b w:val="1"/>
          <w:bCs w:val="1"/>
          <w:color w:val="auto"/>
        </w:rPr>
      </w:pPr>
      <w:r>
        <w:rPr>
          <w:rFonts w:ascii="Times New Roman" w:cs="Times New Roman" w:eastAsia="Times New Roman" w:hAnsi="Times New Roman"/>
          <w:sz w:val="14"/>
          <w:szCs w:val="14"/>
          <w:color w:val="auto"/>
        </w:rPr>
        <w:t>The information contained in the Periodic Report fairly presents, in all material respects, the financial condition and results of operations of the Company.</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Dated: May 15, 2026</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color w:val="auto"/>
        </w:rPr>
        <w:t>, the undersigned have set their hands hereto as of the 15th day of May, 2026</w:t>
      </w:r>
    </w:p>
    <w:p>
      <w:pPr>
        <w:spacing w:after="0" w:line="206"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Talat Imran</w:t>
            </w:r>
          </w:p>
        </w:tc>
        <w:tc>
          <w:tcPr>
            <w:tcW w:w="940" w:type="dxa"/>
            <w:vAlign w:val="bottom"/>
          </w:tcPr>
          <w:p>
            <w:pPr>
              <w:spacing w:after="0"/>
              <w:rPr>
                <w:sz w:val="16"/>
                <w:szCs w:val="16"/>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Svai Sanford</w:t>
            </w: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Talat Imran</w:t>
            </w:r>
          </w:p>
        </w:tc>
        <w:tc>
          <w:tcPr>
            <w:tcW w:w="94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Svai Sanford</w:t>
            </w:r>
          </w:p>
        </w:tc>
      </w:tr>
      <w:tr>
        <w:trPr>
          <w:trHeight w:val="170"/>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94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8"/>
        </w:trPr>
        <w:tc>
          <w:tcPr>
            <w:tcW w:w="2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94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r>
    </w:tbl>
    <w:p>
      <w:pPr>
        <w:spacing w:after="0" w:line="180" w:lineRule="exact"/>
        <w:rPr>
          <w:sz w:val="20"/>
          <w:szCs w:val="20"/>
          <w:color w:val="auto"/>
        </w:rPr>
      </w:pPr>
    </w:p>
    <w:p>
      <w:pPr>
        <w:ind w:left="1160" w:right="1199"/>
        <w:spacing w:after="0" w:line="267" w:lineRule="auto"/>
        <w:rPr>
          <w:sz w:val="20"/>
          <w:szCs w:val="20"/>
          <w:color w:val="auto"/>
        </w:rPr>
      </w:pPr>
      <w:r>
        <w:rPr>
          <w:rFonts w:ascii="Times New Roman" w:cs="Times New Roman" w:eastAsia="Times New Roman" w:hAnsi="Times New Roman"/>
          <w:sz w:val="14"/>
          <w:szCs w:val="14"/>
          <w:color w:val="auto"/>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905510</wp:posOffset>
            </wp:positionV>
            <wp:extent cx="56038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endash "/>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2"/>
    </w:lvl>
  </w:abstractNum>
  <w:abstractNum w:abstractNumId="16">
    <w:nsid w:val="3F2DBA31"/>
    <w:multiLevelType w:val="hybridMultilevel"/>
    <w:lvl w:ilvl="0">
      <w:lvlJc w:val="left"/>
      <w:lvlText w:val="%1."/>
      <w:numFmt w:val="decimal"/>
      <w:start w:val="3"/>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199" Type="http://schemas.openxmlformats.org/officeDocument/2006/relationships/hyperlink" Target="https://www.sec.gov/Archives/edgar/data/1856725/000119312521223596/d151628dex31.htm" TargetMode="External"/><Relationship Id="rId200" Type="http://schemas.openxmlformats.org/officeDocument/2006/relationships/hyperlink" Target="https://www.sec.gov/Archives/edgar/data/1856725/000119312526001098/d84868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2026-05-15T15:31:29Z</dcterms:created>
  <dcterms:modified xsi:type="dcterms:W3CDTF">2026-05-15T15:31:29Z</dcterms:modified>
</cp:coreProperties>
</file>