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left"/>
        <w:rPr/>
      </w:pPr>
      <w:bookmarkStart w:id="0" w:name="rani-20230811.htm"/>
      <w:bookmarkStart w:id="1" w:name="ksrani20230811"/>
      <w:bookmarkEnd w:id="0"/>
      <w:bookmarkEnd w:id="1"/>
      <w:r>
        <w:rPr/>
        <w:t> </w:t>
      </w:r>
    </w:p>
    <w:p>
      <w:pPr>
        <w:pStyle w:val="TextBody"/>
        <w:bidi w:val="0"/>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bidi w:val="0"/>
        <w:spacing w:before="0" w:after="0"/>
        <w:jc w:val="left"/>
        <w:rPr/>
      </w:pPr>
      <w:r>
        <w:rPr/>
        <w:t> </w:t>
      </w:r>
    </w:p>
    <w:p>
      <w:pPr>
        <w:pStyle w:val="TextBody"/>
        <w:bidi w:val="0"/>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bidi w:val="0"/>
        <w:spacing w:before="0" w:after="0"/>
        <w:jc w:val="left"/>
        <w:rPr/>
      </w:pPr>
      <w:r>
        <w:rPr/>
        <w:t> </w:t>
      </w:r>
    </w:p>
    <w:p>
      <w:pPr>
        <w:pStyle w:val="TextBody"/>
        <w:bidi w:val="0"/>
        <w:spacing w:before="180" w:after="0"/>
        <w:jc w:val="center"/>
        <w:rPr>
          <w:rFonts w:ascii="Times New Roman;serif" w:hAnsi="Times New Roman;serif"/>
          <w:b/>
          <w:sz w:val="24"/>
        </w:rPr>
      </w:pPr>
      <w:r>
        <w:rPr>
          <w:rFonts w:ascii="Times New Roman;serif" w:hAnsi="Times New Roman;serif"/>
          <w:b/>
          <w:sz w:val="24"/>
        </w:rPr>
        <w:t>CURRENT REPORT</w:t>
      </w:r>
    </w:p>
    <w:p>
      <w:pPr>
        <w:pStyle w:val="TextBody"/>
        <w:bidi w:val="0"/>
        <w:spacing w:before="0" w:after="0"/>
        <w:jc w:val="center"/>
        <w:rPr>
          <w:rFonts w:ascii="Times New Roman" w:hAnsi="Times New Roman"/>
          <w:sz w:val="20"/>
        </w:rPr>
      </w:pPr>
      <w:r>
        <w:rPr>
          <w:rFonts w:ascii="Times New Roman;serif" w:hAnsi="Times New Roman;serif"/>
          <w:b/>
          <w:sz w:val="24"/>
        </w:rPr>
        <w:t>Pursuant to Section 13 or 15(d) of</w:t>
      </w:r>
      <w:r>
        <w:rPr>
          <w:rFonts w:ascii="Times New Roman" w:hAnsi="Times New Roman"/>
          <w:sz w:val="20"/>
        </w:rPr>
        <w:t xml:space="preserve"> </w:t>
      </w:r>
    </w:p>
    <w:p>
      <w:pPr>
        <w:pStyle w:val="TextBody"/>
        <w:bidi w:val="0"/>
        <w:spacing w:before="0" w:after="120"/>
        <w:jc w:val="center"/>
        <w:rPr>
          <w:rFonts w:ascii="Times New Roman;serif" w:hAnsi="Times New Roman;serif"/>
          <w:b/>
          <w:sz w:val="24"/>
        </w:rPr>
      </w:pPr>
      <w:r>
        <w:rPr>
          <w:rFonts w:ascii="Times New Roman;serif" w:hAnsi="Times New Roman;serif"/>
          <w:b/>
          <w:sz w:val="24"/>
        </w:rPr>
        <w:t>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August 11, 2023</w:t>
            </w:r>
          </w:p>
        </w:tc>
      </w:tr>
    </w:tbl>
    <w:p>
      <w:pPr>
        <w:pStyle w:val="TextBody"/>
        <w:pBdr>
          <w:bottom w:val="single" w:sz="6" w:space="1" w:color="000000"/>
        </w:pBdr>
        <w:bidi w:val="0"/>
        <w:spacing w:before="100" w:after="0"/>
        <w:jc w:val="left"/>
        <w:rPr/>
      </w:pPr>
      <w:r>
        <w:rPr/>
        <w:t> </w:t>
      </w:r>
    </w:p>
    <w:p>
      <w:pPr>
        <w:pStyle w:val="TextBody"/>
        <w:bidi w:val="0"/>
        <w:spacing w:before="0" w:after="0"/>
        <w:jc w:val="left"/>
        <w:rPr/>
      </w:pPr>
      <w:r>
        <w:rPr/>
        <w:t> </w:t>
      </w:r>
    </w:p>
    <w:p>
      <w:pPr>
        <w:pStyle w:val="TextBody"/>
        <w:bidi w:val="0"/>
        <w:spacing w:before="100" w:after="0"/>
        <w:jc w:val="center"/>
        <w:rPr>
          <w:rFonts w:ascii="Times New Roman;serif" w:hAnsi="Times New Roman;serif"/>
          <w:b/>
          <w:sz w:val="48"/>
        </w:rPr>
      </w:pPr>
      <w:r>
        <w:rPr>
          <w:rFonts w:ascii="Times New Roman;serif" w:hAnsi="Times New Roman;serif"/>
          <w:b/>
          <w:sz w:val="48"/>
        </w:rPr>
        <w:t>Rani Therapeutics Holdings, Inc.</w:t>
      </w:r>
    </w:p>
    <w:p>
      <w:pPr>
        <w:pStyle w:val="TextBody"/>
        <w:bidi w:val="0"/>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bidi w:val="0"/>
        <w:spacing w:before="180" w:after="0"/>
        <w:jc w:val="left"/>
        <w:rPr/>
      </w:pPr>
      <w:r>
        <w:rPr/>
        <w:t> </w:t>
      </w:r>
    </w:p>
    <w:p>
      <w:pPr>
        <w:pStyle w:val="TextBody"/>
        <w:bidi w:val="0"/>
        <w:spacing w:before="0" w:after="0"/>
        <w:jc w:val="left"/>
        <w:rPr/>
      </w:pPr>
      <w:r>
        <w:rPr/>
        <w:t> </w:t>
      </w:r>
    </w:p>
    <w:tbl>
      <w:tblPr>
        <w:tblW w:w="5777" w:type="dxa"/>
        <w:jc w:val="left"/>
        <w:tblInd w:w="0" w:type="dxa"/>
        <w:tblLayout w:type="fixed"/>
        <w:tblCellMar>
          <w:top w:w="28" w:type="dxa"/>
          <w:left w:w="28" w:type="dxa"/>
          <w:bottom w:w="28" w:type="dxa"/>
          <w:right w:w="28" w:type="dxa"/>
        </w:tblCellMar>
      </w:tblPr>
      <w:tblGrid>
        <w:gridCol w:w="918"/>
        <w:gridCol w:w="835"/>
        <w:gridCol w:w="842"/>
        <w:gridCol w:w="1846"/>
        <w:gridCol w:w="1336"/>
      </w:tblGrid>
      <w:tr>
        <w:trPr/>
        <w:tc>
          <w:tcPr>
            <w:tcW w:w="91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001-40672</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86-3114789</w:t>
            </w:r>
          </w:p>
        </w:tc>
      </w:tr>
      <w:tr>
        <w:trPr/>
        <w:tc>
          <w:tcPr>
            <w:tcW w:w="259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91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35"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4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2051 Ringwood Avenue</w:t>
            </w:r>
          </w:p>
        </w:tc>
        <w:tc>
          <w:tcPr>
            <w:tcW w:w="3182" w:type="dxa"/>
            <w:gridSpan w:val="2"/>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San Jose, California</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95131</w:t>
            </w:r>
          </w:p>
        </w:tc>
      </w:tr>
      <w:tr>
        <w:trPr/>
        <w:tc>
          <w:tcPr>
            <w:tcW w:w="259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bidi w:val="0"/>
        <w:spacing w:before="0" w:after="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sz w:val="20"/>
              </w:rPr>
              <w:t>(408)</w:t>
            </w:r>
            <w:r>
              <w:rPr>
                <w:rFonts w:ascii="Times New Roman" w:hAnsi="Times New Roman"/>
                <w:sz w:val="20"/>
              </w:rPr>
              <w:t xml:space="preserve"> </w:t>
            </w:r>
            <w:r>
              <w:rPr>
                <w:rFonts w:ascii="Times New Roman;serif" w:hAnsi="Times New Roman;serif"/>
                <w:b/>
                <w:sz w:val="20"/>
              </w:rPr>
              <w:t>457-3700</w:t>
            </w:r>
          </w:p>
        </w:tc>
      </w:tr>
    </w:tbl>
    <w:p>
      <w:pPr>
        <w:pStyle w:val="TextBody"/>
        <w:bidi w:val="0"/>
        <w:spacing w:before="0" w:after="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N/A</w:t>
            </w:r>
          </w:p>
        </w:tc>
      </w:tr>
    </w:tbl>
    <w:p>
      <w:pPr>
        <w:pStyle w:val="TextBody"/>
        <w:bidi w:val="0"/>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bidi w:val="0"/>
        <w:spacing w:before="187" w:after="0"/>
        <w:jc w:val="left"/>
        <w:rPr/>
      </w:pPr>
      <w:r>
        <w:rPr/>
        <w:t> </w:t>
      </w:r>
    </w:p>
    <w:p>
      <w:pPr>
        <w:pStyle w:val="TextBody"/>
        <w:bidi w:val="0"/>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bidi w:val="0"/>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bidi w:val="0"/>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bidi w:val="0"/>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bidi w:val="0"/>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RANI</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 Nasdaq Stock Market LLC</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serif" w:hAnsi="Times New Roman;serif"/>
          <w:b/>
          <w:sz w:val="20"/>
        </w:rPr>
      </w:pPr>
      <w:r>
        <w:rPr>
          <w:rFonts w:ascii="Times New Roman;serif" w:hAnsi="Times New Roman;serif"/>
          <w:b/>
          <w:sz w:val="20"/>
        </w:rPr>
        <w:t>Item 2.02 Results of Operations and Financial Condition.</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On August 11, 2023, Rani Therapeutics Holdings, Inc. (the “Company”) issued a press release providing a corporate update and announcing its financial results for the second quarter ended June 30, 2023. The full text of the press release is furnished as Exhibit 99.1 to this Current Report on Form 8-K and is incorporated herein by reference.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TextBody"/>
        <w:bidi w:val="0"/>
        <w:spacing w:before="360" w:after="120"/>
        <w:jc w:val="left"/>
        <w:rPr>
          <w:rFonts w:ascii="Times New Roman;serif" w:hAnsi="Times New Roman;serif"/>
          <w:b/>
          <w:sz w:val="20"/>
        </w:rPr>
      </w:pPr>
      <w:r>
        <w:rPr>
          <w:rFonts w:ascii="Times New Roman;serif" w:hAnsi="Times New Roman;serif"/>
          <w:b/>
          <w:sz w:val="20"/>
        </w:rPr>
        <w:t>Item 9.01 Financial Statements and Exhibits.</w:t>
      </w:r>
    </w:p>
    <w:p>
      <w:pPr>
        <w:pStyle w:val="TextBody"/>
        <w:bidi w:val="0"/>
        <w:spacing w:before="0" w:after="0"/>
        <w:jc w:val="left"/>
        <w:rPr>
          <w:rFonts w:ascii="Times New Roman;serif" w:hAnsi="Times New Roman;serif"/>
          <w:b/>
          <w:sz w:val="20"/>
        </w:rPr>
      </w:pPr>
      <w:r>
        <w:rPr>
          <w:rFonts w:ascii="Times New Roman;serif" w:hAnsi="Times New Roman;serif"/>
          <w:b/>
          <w:sz w:val="20"/>
        </w:rPr>
        <w:t>(d) Exhibits</w:t>
      </w:r>
    </w:p>
    <w:tbl>
      <w:tblPr>
        <w:tblW w:w="7521" w:type="dxa"/>
        <w:jc w:val="left"/>
        <w:tblInd w:w="0" w:type="dxa"/>
        <w:tblLayout w:type="fixed"/>
        <w:tblCellMar>
          <w:top w:w="28" w:type="dxa"/>
          <w:left w:w="28" w:type="dxa"/>
          <w:bottom w:w="28" w:type="dxa"/>
          <w:right w:w="28" w:type="dxa"/>
        </w:tblCellMar>
      </w:tblPr>
      <w:tblGrid>
        <w:gridCol w:w="811"/>
        <w:gridCol w:w="109"/>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Exhibit</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Exhibit Description</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ani-ex99_1.htm">
              <w:r>
                <w:rPr>
                  <w:rStyle w:val="InternetLink"/>
                  <w:rFonts w:ascii="Times New Roman;serif" w:hAnsi="Times New Roman;serif"/>
                  <w:b w:val="false"/>
                  <w:sz w:val="20"/>
                  <w:u w:val="single"/>
                </w:rPr>
                <w:t>Press Release dated August 11, 2023</w:t>
              </w:r>
            </w:hyperlink>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serif" w:hAnsi="Times New Roman;serif"/>
          <w:b/>
          <w:sz w:val="20"/>
        </w:rPr>
      </w:pPr>
      <w:r>
        <w:rPr>
          <w:rFonts w:ascii="Times New Roman;serif" w:hAnsi="Times New Roman;serif"/>
          <w:b/>
          <w:sz w:val="20"/>
        </w:rPr>
        <w:t>SIGNATURES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5284" w:type="dxa"/>
        <w:jc w:val="left"/>
        <w:tblInd w:w="0" w:type="dxa"/>
        <w:tblLayout w:type="fixed"/>
        <w:tblCellMar>
          <w:top w:w="28" w:type="dxa"/>
          <w:left w:w="28" w:type="dxa"/>
          <w:bottom w:w="28" w:type="dxa"/>
          <w:right w:w="28" w:type="dxa"/>
        </w:tblCellMar>
      </w:tblPr>
      <w:tblGrid>
        <w:gridCol w:w="556"/>
        <w:gridCol w:w="1456"/>
        <w:gridCol w:w="451"/>
        <w:gridCol w:w="282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821" w:type="dxa"/>
            <w:tcBorders/>
            <w:tcMar>
              <w:top w:w="0" w:type="dxa"/>
              <w:left w:w="0" w:type="dxa"/>
              <w:bottom w:w="0" w:type="dxa"/>
              <w:right w:w="0" w:type="dxa"/>
            </w:tcMar>
            <w:vAlign w:val="center"/>
          </w:tcPr>
          <w:p>
            <w:pPr>
              <w:pStyle w:val="TableContents"/>
              <w:bidi w:val="0"/>
              <w:spacing w:before="86" w:after="86"/>
              <w:ind w:left="0" w:right="0" w:hanging="0"/>
              <w:jc w:val="left"/>
              <w:rPr>
                <w:rFonts w:ascii="Times New Roman;serif" w:hAnsi="Times New Roman;serif"/>
                <w:b w:val="false"/>
                <w:sz w:val="20"/>
              </w:rPr>
            </w:pPr>
            <w:r>
              <w:rPr>
                <w:rFonts w:ascii="Times New Roman;serif" w:hAnsi="Times New Roman;serif"/>
                <w:b w:val="false"/>
                <w:sz w:val="20"/>
              </w:rPr>
              <w:t>Rani Therapeutics Holdings, Inc.</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8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5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August 11, 2023</w:t>
            </w:r>
          </w:p>
        </w:tc>
        <w:tc>
          <w:tcPr>
            <w:tcW w:w="451"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2821" w:type="dxa"/>
            <w:tcBorders>
              <w:bottom w:val="single" w:sz="2" w:space="0" w:color="000000"/>
            </w:tcBorders>
            <w:tcMar>
              <w:top w:w="0" w:type="dxa"/>
              <w:left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/s/ Svai Sanford</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821" w:type="dxa"/>
            <w:tcBorders/>
            <w:tcMar>
              <w:top w:w="0" w:type="dxa"/>
              <w:left w:w="0" w:type="dxa"/>
              <w:bottom w:w="0" w:type="dxa"/>
              <w:right w:w="0" w:type="dxa"/>
            </w:tcMar>
            <w:vAlign w:val="center"/>
          </w:tcPr>
          <w:p>
            <w:pPr>
              <w:pStyle w:val="TableContents"/>
              <w:bidi w:val="0"/>
              <w:spacing w:before="14" w:after="187"/>
              <w:ind w:left="0" w:right="0" w:hanging="0"/>
              <w:jc w:val="left"/>
              <w:rPr>
                <w:rFonts w:ascii="Times New Roman;serif" w:hAnsi="Times New Roman;serif"/>
                <w:b w:val="false"/>
                <w:sz w:val="20"/>
              </w:rPr>
            </w:pPr>
            <w:r>
              <w:rPr>
                <w:rFonts w:ascii="Times New Roman;serif" w:hAnsi="Times New Roman;serif"/>
                <w:b w:val="false"/>
                <w:sz w:val="20"/>
              </w:rPr>
              <w:t>Svai Sanford</w:t>
              <w:br/>
              <w:t>Chief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 w:name="rani-ex99_1.htm"/>
      <w:bookmarkStart w:id="3" w:name="ksraniex99_1"/>
      <w:bookmarkEnd w:id="2"/>
      <w:bookmarkEnd w:id="3"/>
      <w:r>
        <w:rPr>
          <w:rFonts w:ascii="Times New Roman;serif" w:hAnsi="Times New Roman;serif"/>
          <w:b/>
          <w:sz w:val="20"/>
        </w:rPr>
        <w:t>Exhibit 99.1</w:t>
      </w:r>
      <w:r>
        <w:br w:type="page"/>
      </w:r>
    </w:p>
    <w:p>
      <w:pPr>
        <w:pStyle w:val="TextBody"/>
        <w:bidi w:val="0"/>
        <w:spacing w:before="0" w:after="0"/>
        <w:jc w:val="right"/>
        <w:rPr/>
      </w:pPr>
      <w:r>
        <w:rPr/>
        <w:t> </w:t>
      </w:r>
    </w:p>
    <w:p>
      <w:pPr>
        <w:pStyle w:val="TextBody"/>
        <w:bidi w:val="0"/>
        <w:spacing w:before="0" w:after="0"/>
        <w:jc w:val="center"/>
        <w:rPr/>
      </w:pPr>
      <w:r>
        <w:rPr/>
        <w:drawing>
          <wp:inline distT="0" distB="0" distL="0" distR="0">
            <wp:extent cx="1666875"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38200"/>
                    </a:xfrm>
                    <a:prstGeom prst="rect">
                      <a:avLst/>
                    </a:prstGeom>
                  </pic:spPr>
                </pic:pic>
              </a:graphicData>
            </a:graphic>
          </wp:inline>
        </w:drawing>
      </w:r>
    </w:p>
    <w:p>
      <w:pPr>
        <w:pStyle w:val="TextBody"/>
        <w:bidi w:val="0"/>
        <w:spacing w:before="360" w:after="0"/>
        <w:jc w:val="center"/>
        <w:rPr>
          <w:rFonts w:ascii="Times New Roman;serif" w:hAnsi="Times New Roman;serif"/>
          <w:b/>
          <w:sz w:val="20"/>
        </w:rPr>
      </w:pPr>
      <w:r>
        <w:rPr>
          <w:rFonts w:ascii="Times New Roman;serif" w:hAnsi="Times New Roman;serif"/>
          <w:b/>
          <w:sz w:val="20"/>
        </w:rPr>
        <w:t>Rani Therapeutics Reports Second Quarter 2023 Financial Results; Provides Corporate Update</w:t>
      </w:r>
    </w:p>
    <w:p>
      <w:pPr>
        <w:pStyle w:val="TextBody"/>
        <w:bidi w:val="0"/>
        <w:spacing w:before="120" w:after="0"/>
        <w:jc w:val="center"/>
        <w:rPr>
          <w:rFonts w:ascii="Times New Roman" w:hAnsi="Times New Roman"/>
          <w:sz w:val="20"/>
        </w:rPr>
      </w:pPr>
      <w:r>
        <w:rPr>
          <w:rFonts w:ascii="Times New Roman;serif" w:hAnsi="Times New Roman;serif"/>
          <w:b w:val="false"/>
          <w:i/>
          <w:sz w:val="20"/>
        </w:rPr>
        <w:t>- Expansion of partnership with Celltrion for development of RT-105 to complement existing partnership for RT-111</w:t>
      </w:r>
      <w:r>
        <w:rPr>
          <w:rFonts w:ascii="Times New Roman" w:hAnsi="Times New Roman"/>
          <w:sz w:val="20"/>
        </w:rPr>
        <w:t xml:space="preserve"> </w:t>
      </w:r>
    </w:p>
    <w:p>
      <w:pPr>
        <w:pStyle w:val="TextBody"/>
        <w:bidi w:val="0"/>
        <w:spacing w:before="120" w:after="0"/>
        <w:jc w:val="center"/>
        <w:rPr>
          <w:rFonts w:ascii="Times New Roman;serif" w:hAnsi="Times New Roman;serif"/>
          <w:b w:val="false"/>
          <w:i/>
          <w:sz w:val="20"/>
        </w:rPr>
      </w:pPr>
      <w:r>
        <w:rPr>
          <w:rFonts w:ascii="Times New Roman;serif" w:hAnsi="Times New Roman;serif"/>
          <w:b w:val="false"/>
          <w:i/>
          <w:sz w:val="20"/>
        </w:rPr>
        <w:t>- Appointment of Kate McKinley as Chief Business Officer</w:t>
      </w:r>
    </w:p>
    <w:p>
      <w:pPr>
        <w:pStyle w:val="TextBody"/>
        <w:bidi w:val="0"/>
        <w:spacing w:before="120" w:after="0"/>
        <w:jc w:val="center"/>
        <w:rPr>
          <w:rFonts w:ascii="Times New Roman;serif" w:hAnsi="Times New Roman;serif"/>
          <w:b w:val="false"/>
          <w:i/>
          <w:sz w:val="20"/>
        </w:rPr>
      </w:pPr>
      <w:r>
        <w:rPr>
          <w:rFonts w:ascii="Times New Roman;serif" w:hAnsi="Times New Roman;serif"/>
          <w:b w:val="false"/>
          <w:i/>
          <w:sz w:val="20"/>
        </w:rPr>
        <w:t>- Presentation of three abstracts on RT-102 and RT-112 at the Endocrine Society Annual Conference and selection as winner of Presidential Poster Competition in its category for exceptional scientific work on RT-102</w:t>
      </w:r>
    </w:p>
    <w:p>
      <w:pPr>
        <w:pStyle w:val="TextBody"/>
        <w:bidi w:val="0"/>
        <w:spacing w:before="120" w:after="0"/>
        <w:jc w:val="center"/>
        <w:rPr>
          <w:rFonts w:ascii="Times New Roman;serif" w:hAnsi="Times New Roman;serif"/>
          <w:b w:val="false"/>
          <w:i/>
          <w:sz w:val="20"/>
        </w:rPr>
      </w:pPr>
      <w:r>
        <w:rPr>
          <w:rFonts w:ascii="Times New Roman;serif" w:hAnsi="Times New Roman;serif"/>
          <w:b w:val="false"/>
          <w:i/>
          <w:sz w:val="20"/>
        </w:rPr>
        <w:t>- Presentation of late-breaking abstract on oral delivery of GLP-1 agonist at American Diabetes Association’s Scientific Sessions</w:t>
      </w:r>
    </w:p>
    <w:p>
      <w:pPr>
        <w:pStyle w:val="TextBody"/>
        <w:bidi w:val="0"/>
        <w:spacing w:before="120" w:after="0"/>
        <w:jc w:val="center"/>
        <w:rPr>
          <w:rFonts w:ascii="Times New Roman;serif" w:hAnsi="Times New Roman;serif"/>
          <w:b w:val="false"/>
          <w:i/>
          <w:sz w:val="20"/>
        </w:rPr>
      </w:pPr>
      <w:r>
        <w:rPr>
          <w:rFonts w:ascii="Times New Roman;serif" w:hAnsi="Times New Roman;serif"/>
          <w:b w:val="false"/>
          <w:i/>
          <w:sz w:val="20"/>
        </w:rPr>
        <w:t>- Plan to initiate Phase 2 study for RT-102 and Phase 1 study for RT-111 in 2H of 2023</w:t>
      </w:r>
    </w:p>
    <w:p>
      <w:pPr>
        <w:pStyle w:val="TextBody"/>
        <w:bidi w:val="0"/>
        <w:spacing w:before="180" w:after="0"/>
        <w:jc w:val="left"/>
        <w:rPr>
          <w:rFonts w:ascii="Times New Roman" w:hAnsi="Times New Roman"/>
          <w:sz w:val="20"/>
        </w:rPr>
      </w:pPr>
      <w:r>
        <w:rPr>
          <w:rFonts w:ascii="Times New Roman;serif" w:hAnsi="Times New Roman;serif"/>
          <w:b/>
          <w:sz w:val="20"/>
        </w:rPr>
        <w:t xml:space="preserve">SAN JOSE, Calif., August 11, 2023 </w:t>
      </w:r>
      <w:r>
        <w:rPr>
          <w:rFonts w:ascii="Times New Roman;serif" w:hAnsi="Times New Roman;serif"/>
          <w:b w:val="false"/>
          <w:sz w:val="20"/>
        </w:rPr>
        <w:t>-- Rani Therapeutics Holdings, Inc. (“Rani Therapeutics” or “Rani”) (Nasdaq: RANI), a clinical-stage biotherapeutics company focused on the oral delivery of biologics and drugs, today reported financial results for the quarter ended June 30, 2023, and provided a corporate update.</w:t>
      </w:r>
    </w:p>
    <w:p>
      <w:pPr>
        <w:pStyle w:val="TextBody"/>
        <w:bidi w:val="0"/>
        <w:spacing w:before="0" w:after="0"/>
        <w:jc w:val="left"/>
        <w:rPr/>
      </w:pPr>
      <w:r>
        <w:rPr/>
        <w:t> </w:t>
      </w:r>
    </w:p>
    <w:p>
      <w:pPr>
        <w:pStyle w:val="TextBody"/>
        <w:bidi w:val="0"/>
        <w:spacing w:before="0" w:after="0"/>
        <w:jc w:val="left"/>
        <w:rPr/>
      </w:pPr>
      <w:r>
        <w:rPr/>
        <w:t>“</w:t>
      </w:r>
      <w:r>
        <w:rPr>
          <w:rFonts w:ascii="Times New Roman;serif" w:hAnsi="Times New Roman;serif"/>
          <w:b w:val="false"/>
          <w:sz w:val="20"/>
        </w:rPr>
        <w:t>We are thrilled to have the opportunity to build upon our existing partnership with Celltrion,” said Talat Imran, Chief Executive Officer of Rani. “The partnership to develop RT-105 is our first involving the RaniPill</w:t>
      </w:r>
      <w:r>
        <w:rPr>
          <w:rFonts w:ascii="Times New Roman;serif" w:hAnsi="Times New Roman;serif"/>
          <w:b w:val="false"/>
          <w:sz w:val="13"/>
        </w:rPr>
        <w:t>®</w:t>
      </w:r>
      <w:r>
        <w:rPr>
          <w:rFonts w:ascii="Times New Roman;serif" w:hAnsi="Times New Roman;serif"/>
          <w:b w:val="false"/>
          <w:sz w:val="20"/>
        </w:rPr>
        <w:t>HC, a high-capacity device that is designed to deliver up to a 500%-plus higher drug payload than Rani’s existing oral biologics capsule. Looking ahead, we anticipate a productive second half of the year including initiation of a Phase 2 study for RT-102 and a Phase 1 study for RT-111, our first clinical study with a monoclonal antibody.”</w:t>
      </w:r>
    </w:p>
    <w:p>
      <w:pPr>
        <w:pStyle w:val="TextBody"/>
        <w:bidi w:val="0"/>
        <w:spacing w:before="360" w:after="0"/>
        <w:jc w:val="left"/>
        <w:rPr>
          <w:rFonts w:ascii="Times New Roman;serif" w:hAnsi="Times New Roman;serif"/>
          <w:b/>
          <w:sz w:val="20"/>
        </w:rPr>
      </w:pPr>
      <w:r>
        <w:rPr>
          <w:rFonts w:ascii="Times New Roman;serif" w:hAnsi="Times New Roman;serif"/>
          <w:b/>
          <w:sz w:val="20"/>
        </w:rPr>
        <w:t>Second Quarter or Subsequent Highlights: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0"/>
        </w:rPr>
        <w:t xml:space="preserve">Announced expansion of partnership with Celltrion to include adalimumab biosimilar for RT-105. </w:t>
      </w:r>
      <w:r>
        <w:rPr>
          <w:rFonts w:ascii="Times New Roman;serif" w:hAnsi="Times New Roman;serif"/>
          <w:b w:val="false"/>
          <w:sz w:val="20"/>
        </w:rPr>
        <w:t>This is the second deal announced between Rani and Celltrion, building upon a previously announced partnership for ustekinumab biosimilar for RT-111. Under the terms of the new license and supply agreement announced in June 2023, Celltrion will exclusively supply to Rani the adalimumab biosimilar drug substance (CT-P17) required for RT-105. Rani is granted an exclusive license to use CT-P17 in the development and commercialization of RT-105, and Celltrion is granted a right of first negotiation to acquire worldwide rights to RT-105 following a Phase 1 study.</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0"/>
        </w:rPr>
        <w:t xml:space="preserve">Appointed Kate McKinley as Chief Business Officer. </w:t>
      </w:r>
      <w:r>
        <w:rPr>
          <w:rFonts w:ascii="Times New Roman;serif" w:hAnsi="Times New Roman;serif"/>
          <w:b w:val="false"/>
          <w:sz w:val="20"/>
        </w:rPr>
        <w:t>In May 2023, Ms. McKinley joined Rani’s executive leadership team bringing with her 20 years of biopharmaceutical industry experience. She has proven success in securing global partnerships and executing regulatory and commercial strategies with respect to biologics, cell therapies and small molecules across multiple therapeutic areas.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0"/>
        </w:rPr>
        <w:t>Presented three abstracts at Endocrine Society Annual Conference (ENDO).</w:t>
      </w:r>
      <w:r>
        <w:rPr/>
        <w:t xml:space="preserve"> </w:t>
      </w:r>
      <w:r>
        <w:rPr>
          <w:rFonts w:ascii="Times New Roman;serif" w:hAnsi="Times New Roman;serif"/>
          <w:b w:val="false"/>
          <w:sz w:val="20"/>
        </w:rPr>
        <w:t>Rani presented two abstracts on RT-102, an orally administered version of human parathyroid hormone analog teriparatide, which is being developed as an osteoanabolic therapy for osteoporosis. Both abstracts were nominated for ENDO’s Presidential Poster Competition and one of which was named the winner of the competition in the area of Bone and Mineral Metabolism. The Endocrine Society committee recognized Rani for its exceptional scientific work on RT-102. Rani presented a third abstract on an orally administered, follicle-stimulating hormone biosimilar and patient preference which reported that a vast majority (91%) of patients surveyed preferred an oral pill over parenteral injection.</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sz w:val="20"/>
        </w:rPr>
        <w:t>Presented late-breaking abstract on the oral delivery of GLP-1 agonist at the American Diabetes Association Annual Conference (ADA).</w:t>
      </w:r>
      <w:r>
        <w:rPr/>
        <w:t xml:space="preserve"> </w:t>
      </w:r>
      <w:r>
        <w:rPr>
          <w:rFonts w:ascii="Times New Roman;serif" w:hAnsi="Times New Roman;serif"/>
          <w:b w:val="false"/>
          <w:sz w:val="20"/>
        </w:rPr>
        <w:t>The abstract focused on the oral delivery of a GLP-1 agonist with high bioavailability in dogs and humans.</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Near-Term Milestone Expectations: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Initiation of Phase 2 study of RT-102 for osteoporosis expected in the second half of 2023</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Initiation of Phase 1 study of RT-111 containing an ustekinumab biosimilar in the second half of 2023</w:t>
      </w:r>
    </w:p>
    <w:p>
      <w:pPr>
        <w:pStyle w:val="TextBody"/>
        <w:bidi w:val="0"/>
        <w:spacing w:before="360" w:after="0"/>
        <w:jc w:val="left"/>
        <w:rPr>
          <w:rFonts w:ascii="Times New Roman;serif" w:hAnsi="Times New Roman;serif"/>
          <w:b/>
          <w:sz w:val="20"/>
        </w:rPr>
      </w:pPr>
      <w:r>
        <w:rPr>
          <w:rFonts w:ascii="Times New Roman;serif" w:hAnsi="Times New Roman;serif"/>
          <w:b/>
          <w:sz w:val="20"/>
        </w:rPr>
        <w:t>Second Quarter Financial Results: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0"/>
        </w:rPr>
        <w:t xml:space="preserve">Cash, cash equivalents and marketable securities </w:t>
      </w:r>
      <w:r>
        <w:rPr>
          <w:rFonts w:ascii="Times New Roman;serif" w:hAnsi="Times New Roman;serif"/>
          <w:b w:val="false"/>
          <w:sz w:val="20"/>
        </w:rPr>
        <w:t>as of June 30, 2023, totaled $74.6 million, compared to cash, cash equivalents and marketable securities of $98.5 million for the year ended December 31, 2022. Rani expects its cash, cash equivalents and marketable securities to be sufficient to fund its operations through at least the next twelve months.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0"/>
        </w:rPr>
        <w:t xml:space="preserve">Research and development expenses </w:t>
      </w:r>
      <w:r>
        <w:rPr>
          <w:rFonts w:ascii="Times New Roman;serif" w:hAnsi="Times New Roman;serif"/>
          <w:b w:val="false"/>
          <w:sz w:val="20"/>
        </w:rPr>
        <w:t>for the three months ended June 30, 2023, were $11.1 million, compared to $9.5 million for the same period in 2022. The increase was primarily attributed to higher compensation costs of $1.4 million, which includes an increase of $0.2 million in stock-based compensation, due to headcount growth.</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0"/>
        </w:rPr>
        <w:t xml:space="preserve">General and administrative expenses </w:t>
      </w:r>
      <w:r>
        <w:rPr>
          <w:rFonts w:ascii="Times New Roman;serif" w:hAnsi="Times New Roman;serif"/>
          <w:b w:val="false"/>
          <w:sz w:val="20"/>
        </w:rPr>
        <w:t>for the three months ended June 30, 2023, were $7.2 million, compared to $6.3 million for the same period in 2022. The increase was primarily attributed to higher compensation costs of $1.2 million, which includes an increase of $0.9 million in stock-based compensation, due to headcount growth, partially offset by a decrease in third-party services of $0.3 million due to non-recurring public company-related costs.</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sz w:val="20"/>
        </w:rPr>
        <w:t>Net loss</w:t>
      </w:r>
      <w:r>
        <w:rPr/>
        <w:t xml:space="preserve"> </w:t>
      </w:r>
      <w:r>
        <w:rPr>
          <w:rFonts w:ascii="Times New Roman;serif" w:hAnsi="Times New Roman;serif"/>
          <w:b w:val="false"/>
          <w:sz w:val="20"/>
        </w:rPr>
        <w:t xml:space="preserve">for the three months ended June 30, 2023, was $18.7 million, compared to $16.0 million for the same period in 2022, including non-cash charges primarily attributed to stock-based compensation expense of $4.8 million for the three months ended June 30, 2023, compared to $4.1 million for the same period in 2022. </w:t>
      </w:r>
    </w:p>
    <w:p>
      <w:pPr>
        <w:pStyle w:val="TextBody"/>
        <w:bidi w:val="0"/>
        <w:spacing w:before="360" w:after="0"/>
        <w:jc w:val="left"/>
        <w:rPr>
          <w:rFonts w:ascii="Times New Roman;serif" w:hAnsi="Times New Roman;serif"/>
          <w:b/>
          <w:sz w:val="20"/>
        </w:rPr>
      </w:pPr>
      <w:r>
        <w:rPr>
          <w:rFonts w:ascii="Times New Roman;serif" w:hAnsi="Times New Roman;serif"/>
          <w:b/>
          <w:sz w:val="20"/>
        </w:rPr>
        <w:t>About Rani Therapeutics</w:t>
      </w:r>
    </w:p>
    <w:p>
      <w:pPr>
        <w:pStyle w:val="TextBody"/>
        <w:bidi w:val="0"/>
        <w:spacing w:before="120" w:after="0"/>
        <w:jc w:val="left"/>
        <w:rPr>
          <w:rFonts w:ascii="Times New Roman" w:hAnsi="Times New Roman"/>
          <w:sz w:val="20"/>
        </w:rPr>
      </w:pPr>
      <w:r>
        <w:rPr>
          <w:rFonts w:ascii="Times New Roman;serif" w:hAnsi="Times New Roman;serif"/>
          <w:b w:val="false"/>
          <w:sz w:val="20"/>
        </w:rPr>
        <w:t>Rani Therapeutics is a clinical-stage biotherapeutics company focused on advancing technologies to enable the development of orally administered biologics and drugs. Rani has developed the RaniPill</w:t>
      </w:r>
      <w:r>
        <w:rPr>
          <w:rFonts w:ascii="Times New Roman;serif" w:hAnsi="Times New Roman;serif"/>
          <w:b w:val="false"/>
          <w:sz w:val="13"/>
        </w:rPr>
        <w:t xml:space="preserve">® </w:t>
      </w:r>
      <w:r>
        <w:rPr>
          <w:rFonts w:ascii="Times New Roman;serif" w:hAnsi="Times New Roman;serif"/>
          <w:b w:val="false"/>
          <w:sz w:val="20"/>
        </w:rPr>
        <w:t>capsule, which is a novel, proprietary and patented platform technology, intended to replace subcutaneous injection or intravenous infusion of biologics and drugs with oral dosing. Rani is progressing two RaniPill</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capsules, the RaniPill</w:t>
      </w:r>
      <w:r>
        <w:rPr>
          <w:rFonts w:ascii="Times New Roman;serif" w:hAnsi="Times New Roman;serif"/>
          <w:b w:val="false"/>
          <w:sz w:val="13"/>
        </w:rPr>
        <w:t>®</w:t>
      </w:r>
      <w:r>
        <w:rPr>
          <w:rFonts w:ascii="Times New Roman;serif" w:hAnsi="Times New Roman;serif"/>
          <w:b w:val="false"/>
          <w:sz w:val="20"/>
        </w:rPr>
        <w:t>GO and the RaniPill</w:t>
      </w:r>
      <w:r>
        <w:rPr>
          <w:rFonts w:ascii="Times New Roman;serif" w:hAnsi="Times New Roman;serif"/>
          <w:b w:val="false"/>
          <w:sz w:val="13"/>
        </w:rPr>
        <w:t>®</w:t>
      </w:r>
      <w:r>
        <w:rPr>
          <w:rFonts w:ascii="Times New Roman;serif" w:hAnsi="Times New Roman;serif"/>
          <w:b w:val="false"/>
          <w:sz w:val="20"/>
        </w:rPr>
        <w:t>HC. Rani has successfully conducted several preclinical and clinical studies to evaluate safety, tolerability and bioavailability using RaniPill capsule technology. For more information, visit ranitherapeutics.com.</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Forward-Looking Statements</w:t>
      </w:r>
    </w:p>
    <w:p>
      <w:pPr>
        <w:pStyle w:val="TextBody"/>
        <w:bidi w:val="0"/>
        <w:spacing w:before="120" w:after="0"/>
        <w:jc w:val="left"/>
        <w:rPr>
          <w:rFonts w:ascii="Times New Roman" w:hAnsi="Times New Roman"/>
          <w:sz w:val="20"/>
        </w:rPr>
      </w:pPr>
      <w:r>
        <w:rPr>
          <w:rFonts w:ascii="Times New Roman;serif" w:hAnsi="Times New Roman;serif"/>
          <w:b w:val="false"/>
          <w:sz w:val="20"/>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potential for the partnerships with Celltrion to deliver value, the advancement of Rani’s pipeline and RaniPill</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platform technology including the RaniPill</w:t>
      </w:r>
      <w:r>
        <w:rPr>
          <w:rFonts w:ascii="Times New Roman;serif" w:hAnsi="Times New Roman;serif"/>
          <w:b w:val="false"/>
          <w:sz w:val="13"/>
        </w:rPr>
        <w:t>®</w:t>
      </w:r>
      <w:r>
        <w:rPr>
          <w:rFonts w:ascii="Times New Roman;serif" w:hAnsi="Times New Roman;serif"/>
          <w:b w:val="false"/>
          <w:sz w:val="20"/>
        </w:rPr>
        <w:t>HC, the potential of the RaniPill</w:t>
      </w:r>
      <w:r>
        <w:rPr>
          <w:rFonts w:ascii="Times New Roman;serif" w:hAnsi="Times New Roman;serif"/>
          <w:b w:val="false"/>
          <w:sz w:val="13"/>
        </w:rPr>
        <w:t>®</w:t>
      </w:r>
      <w:r>
        <w:rPr>
          <w:rFonts w:ascii="Times New Roman;serif" w:hAnsi="Times New Roman;serif"/>
          <w:b w:val="false"/>
          <w:sz w:val="20"/>
        </w:rPr>
        <w:t>HC to deliver 500%-plus higher drug payload than Rani’s existing oral biologics capsule or drug, the expected initiation of a Phase 2 trial of RT-102 and a Phase 1 trial of RT-111 in 2023, the ability to confirm preliminary reliability and optimize performance of the RaniPill</w:t>
      </w:r>
      <w:r>
        <w:rPr>
          <w:rFonts w:ascii="Times New Roman;serif" w:hAnsi="Times New Roman;serif"/>
          <w:b w:val="false"/>
          <w:sz w:val="13"/>
        </w:rPr>
        <w:t>®</w:t>
      </w:r>
      <w:r>
        <w:rPr>
          <w:rFonts w:ascii="Times New Roman;serif" w:hAnsi="Times New Roman;serif"/>
          <w:b w:val="false"/>
          <w:sz w:val="20"/>
        </w:rPr>
        <w:t>HC, the market opportunity for Rani utilizing the RaniPill</w:t>
      </w:r>
      <w:r>
        <w:rPr>
          <w:rFonts w:ascii="Times New Roman;serif" w:hAnsi="Times New Roman;serif"/>
          <w:b w:val="false"/>
          <w:sz w:val="13"/>
        </w:rPr>
        <w:t>®</w:t>
      </w:r>
      <w:r>
        <w:rPr>
          <w:rFonts w:ascii="Times New Roman;serif" w:hAnsi="Times New Roman;serif"/>
          <w:b w:val="false"/>
          <w:sz w:val="20"/>
        </w:rPr>
        <w:t>HC, customer acceptance of the RaniPill</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capsule technology, the potential benefits of the RaniPill</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capsule technology, cash sufficiency forecast, and Rani’s growth as a company. Because such statements are subject to risks and uncertainties, actual results may differ materially from those expressed or implied by such forward-looking statements. Words such as “continue,” “potential,” “designed,” “confirm,” “anticipate,” “plan”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2022,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pStyle w:val="TextBody"/>
        <w:bidi w:val="0"/>
        <w:spacing w:before="360" w:after="120"/>
        <w:jc w:val="both"/>
        <w:rPr>
          <w:rFonts w:ascii="Times New Roman;serif" w:hAnsi="Times New Roman;serif"/>
          <w:b/>
          <w:sz w:val="20"/>
        </w:rPr>
      </w:pPr>
      <w:r>
        <w:rPr>
          <w:rFonts w:ascii="Times New Roman;serif" w:hAnsi="Times New Roman;serif"/>
          <w:b/>
          <w:sz w:val="20"/>
        </w:rPr>
        <w:t>Investor Contact:</w:t>
      </w:r>
    </w:p>
    <w:p>
      <w:pPr>
        <w:pStyle w:val="TextBody"/>
        <w:bidi w:val="0"/>
        <w:spacing w:before="0" w:after="160"/>
        <w:jc w:val="both"/>
        <w:rPr>
          <w:rFonts w:ascii="Times New Roman;serif" w:hAnsi="Times New Roman;serif"/>
          <w:b w:val="false"/>
          <w:sz w:val="20"/>
          <w:u w:val="single"/>
        </w:rPr>
      </w:pPr>
      <w:r>
        <w:rPr>
          <w:rFonts w:ascii="Times New Roman;serif" w:hAnsi="Times New Roman;serif"/>
          <w:b w:val="false"/>
          <w:sz w:val="20"/>
          <w:u w:val="single"/>
        </w:rPr>
        <w:t>investors@ranitherapeutics.com</w:t>
      </w:r>
    </w:p>
    <w:p>
      <w:pPr>
        <w:pStyle w:val="TextBody"/>
        <w:bidi w:val="0"/>
        <w:spacing w:before="0" w:after="160"/>
        <w:jc w:val="both"/>
        <w:rPr>
          <w:rFonts w:ascii="Times New Roman;serif" w:hAnsi="Times New Roman;serif"/>
          <w:b/>
          <w:sz w:val="20"/>
        </w:rPr>
      </w:pPr>
      <w:r>
        <w:rPr>
          <w:rFonts w:ascii="Times New Roman;serif" w:hAnsi="Times New Roman;serif"/>
          <w:b/>
          <w:sz w:val="20"/>
        </w:rPr>
        <w:t>Media Contact:</w:t>
      </w:r>
    </w:p>
    <w:p>
      <w:pPr>
        <w:pStyle w:val="TextBody"/>
        <w:bidi w:val="0"/>
        <w:spacing w:before="0" w:after="160"/>
        <w:jc w:val="both"/>
        <w:rPr>
          <w:rFonts w:ascii="Times New Roman;serif" w:hAnsi="Times New Roman;serif"/>
          <w:b w:val="false"/>
          <w:sz w:val="20"/>
        </w:rPr>
      </w:pPr>
      <w:r>
        <w:rPr>
          <w:rFonts w:ascii="Times New Roman;serif" w:hAnsi="Times New Roman;serif"/>
          <w:b w:val="false"/>
          <w:sz w:val="20"/>
        </w:rPr>
        <w:t>media@ranitherapeutics.com</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RANI THERAPEUTICS HOLDINGS,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Condensed Consolidated Balance Sheets</w:t>
      </w:r>
      <w:r>
        <w:rPr>
          <w:rFonts w:ascii="Times New Roman" w:hAnsi="Times New Roman"/>
          <w:sz w:val="20"/>
        </w:rPr>
        <w:t xml:space="preserve">  </w:t>
      </w:r>
    </w:p>
    <w:p>
      <w:pPr>
        <w:pStyle w:val="TextBody"/>
        <w:bidi w:val="0"/>
        <w:spacing w:before="0" w:after="240"/>
        <w:jc w:val="center"/>
        <w:rPr>
          <w:rFonts w:ascii="Times New Roman" w:hAnsi="Times New Roman"/>
          <w:sz w:val="20"/>
        </w:rPr>
      </w:pPr>
      <w:r>
        <w:rPr>
          <w:rFonts w:ascii="Times New Roman;serif" w:hAnsi="Times New Roman;serif"/>
          <w:b/>
          <w:sz w:val="20"/>
        </w:rPr>
        <w:t>(In thousands, except par value)</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7157"/>
        <w:gridCol w:w="146"/>
        <w:gridCol w:w="213"/>
        <w:gridCol w:w="746"/>
        <w:gridCol w:w="166"/>
        <w:gridCol w:w="146"/>
        <w:gridCol w:w="221"/>
        <w:gridCol w:w="817"/>
        <w:gridCol w:w="593"/>
      </w:tblGrid>
      <w:tr>
        <w:trPr/>
        <w:tc>
          <w:tcPr>
            <w:tcW w:w="7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1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5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5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8" w:type="dxa"/>
            <w:gridSpan w:val="2"/>
            <w:tcBorders/>
            <w:vAlign w:val="center"/>
          </w:tcPr>
          <w:p>
            <w:pPr>
              <w:pStyle w:val="TableContents"/>
              <w:bidi w:val="0"/>
              <w:spacing w:before="0" w:after="0"/>
              <w:ind w:left="0" w:right="0" w:hanging="0"/>
              <w:jc w:val="center"/>
              <w:rPr/>
            </w:pPr>
            <w:r>
              <w:rPr/>
              <w:t> </w:t>
            </w:r>
          </w:p>
        </w:tc>
        <w:tc>
          <w:tcPr>
            <w:tcW w:w="593" w:type="dxa"/>
            <w:tcBorders/>
            <w:vAlign w:val="center"/>
          </w:tcPr>
          <w:p>
            <w:pPr>
              <w:pStyle w:val="TableContents"/>
              <w:bidi w:val="0"/>
              <w:spacing w:before="0" w:after="0"/>
              <w:ind w:left="0" w:right="0" w:hanging="0"/>
              <w:jc w:val="center"/>
              <w:rPr/>
            </w:pPr>
            <w:r>
              <w:rPr/>
              <w:t> </w:t>
            </w:r>
          </w:p>
        </w:tc>
      </w:tr>
      <w:tr>
        <w:trPr/>
        <w:tc>
          <w:tcPr>
            <w:tcW w:w="715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8"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71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8"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71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27,007</w:t>
            </w:r>
          </w:p>
        </w:tc>
        <w:tc>
          <w:tcPr>
            <w:tcW w:w="593" w:type="dxa"/>
            <w:tcBorders/>
            <w:vAlign w:val="center"/>
          </w:tcPr>
          <w:p>
            <w:pPr>
              <w:pStyle w:val="TableContents"/>
              <w:bidi w:val="0"/>
              <w:spacing w:before="0" w:after="0"/>
              <w:ind w:left="0" w:right="0" w:firstLine="200"/>
              <w:jc w:val="left"/>
              <w:rPr/>
            </w:pPr>
            <w:r>
              <w:rPr/>
              <w:t> </w:t>
            </w:r>
          </w:p>
        </w:tc>
      </w:tr>
      <w:tr>
        <w:trPr/>
        <w:tc>
          <w:tcPr>
            <w:tcW w:w="71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71,475</w:t>
            </w:r>
          </w:p>
        </w:tc>
        <w:tc>
          <w:tcPr>
            <w:tcW w:w="593" w:type="dxa"/>
            <w:tcBorders/>
            <w:vAlign w:val="center"/>
          </w:tcPr>
          <w:p>
            <w:pPr>
              <w:pStyle w:val="TableContents"/>
              <w:bidi w:val="0"/>
              <w:spacing w:before="0" w:after="0"/>
              <w:ind w:left="0" w:right="0" w:firstLine="200"/>
              <w:jc w:val="left"/>
              <w:rPr/>
            </w:pPr>
            <w:r>
              <w:rPr/>
              <w:t> </w:t>
            </w:r>
          </w:p>
        </w:tc>
      </w:tr>
      <w:tr>
        <w:trPr/>
        <w:tc>
          <w:tcPr>
            <w:tcW w:w="71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2,442</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5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100,924</w:t>
            </w:r>
          </w:p>
        </w:tc>
        <w:tc>
          <w:tcPr>
            <w:tcW w:w="593" w:type="dxa"/>
            <w:tcBorders/>
            <w:vAlign w:val="center"/>
          </w:tcPr>
          <w:p>
            <w:pPr>
              <w:pStyle w:val="TableContents"/>
              <w:bidi w:val="0"/>
              <w:spacing w:before="0" w:after="0"/>
              <w:ind w:left="0" w:right="0" w:firstLine="200"/>
              <w:jc w:val="left"/>
              <w:rPr/>
            </w:pPr>
            <w:r>
              <w:rPr/>
              <w:t> </w:t>
            </w:r>
          </w:p>
        </w:tc>
      </w:tr>
      <w:tr>
        <w:trPr/>
        <w:tc>
          <w:tcPr>
            <w:tcW w:w="71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6,038</w:t>
            </w:r>
          </w:p>
        </w:tc>
        <w:tc>
          <w:tcPr>
            <w:tcW w:w="593" w:type="dxa"/>
            <w:tcBorders/>
            <w:vAlign w:val="center"/>
          </w:tcPr>
          <w:p>
            <w:pPr>
              <w:pStyle w:val="TableContents"/>
              <w:bidi w:val="0"/>
              <w:spacing w:before="0" w:after="0"/>
              <w:ind w:left="0" w:right="0" w:firstLine="200"/>
              <w:jc w:val="left"/>
              <w:rPr/>
            </w:pPr>
            <w:r>
              <w:rPr/>
              <w:t> </w:t>
            </w:r>
          </w:p>
        </w:tc>
      </w:tr>
      <w:tr>
        <w:trPr/>
        <w:tc>
          <w:tcPr>
            <w:tcW w:w="71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right-of-use asset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1,065</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5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108,027</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5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8"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71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8"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71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1,460</w:t>
            </w:r>
          </w:p>
        </w:tc>
        <w:tc>
          <w:tcPr>
            <w:tcW w:w="593" w:type="dxa"/>
            <w:tcBorders/>
            <w:vAlign w:val="center"/>
          </w:tcPr>
          <w:p>
            <w:pPr>
              <w:pStyle w:val="TableContents"/>
              <w:bidi w:val="0"/>
              <w:spacing w:before="0" w:after="0"/>
              <w:ind w:left="0" w:right="0" w:firstLine="200"/>
              <w:jc w:val="left"/>
              <w:rPr/>
            </w:pPr>
            <w:r>
              <w:rPr/>
              <w:t> </w:t>
            </w:r>
          </w:p>
        </w:tc>
      </w:tr>
      <w:tr>
        <w:trPr/>
        <w:tc>
          <w:tcPr>
            <w:tcW w:w="71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w:t>
            </w:r>
          </w:p>
        </w:tc>
        <w:tc>
          <w:tcPr>
            <w:tcW w:w="593" w:type="dxa"/>
            <w:tcBorders/>
            <w:vAlign w:val="center"/>
          </w:tcPr>
          <w:p>
            <w:pPr>
              <w:pStyle w:val="TableContents"/>
              <w:bidi w:val="0"/>
              <w:spacing w:before="0" w:after="0"/>
              <w:ind w:left="0" w:right="0" w:firstLine="200"/>
              <w:jc w:val="left"/>
              <w:rPr/>
            </w:pPr>
            <w:r>
              <w:rPr/>
              <w:t> </w:t>
            </w:r>
          </w:p>
        </w:tc>
      </w:tr>
      <w:tr>
        <w:trPr/>
        <w:tc>
          <w:tcPr>
            <w:tcW w:w="71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liability, current portion</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1,006</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5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4,815</w:t>
            </w:r>
          </w:p>
        </w:tc>
        <w:tc>
          <w:tcPr>
            <w:tcW w:w="593" w:type="dxa"/>
            <w:tcBorders/>
            <w:vAlign w:val="center"/>
          </w:tcPr>
          <w:p>
            <w:pPr>
              <w:pStyle w:val="TableContents"/>
              <w:bidi w:val="0"/>
              <w:spacing w:before="0" w:after="0"/>
              <w:ind w:left="0" w:right="0" w:firstLine="200"/>
              <w:jc w:val="left"/>
              <w:rPr/>
            </w:pPr>
            <w:r>
              <w:rPr/>
              <w:t> </w:t>
            </w:r>
          </w:p>
        </w:tc>
      </w:tr>
      <w:tr>
        <w:trPr/>
        <w:tc>
          <w:tcPr>
            <w:tcW w:w="71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liability, less current portion</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593" w:type="dxa"/>
            <w:tcBorders/>
            <w:vAlign w:val="center"/>
          </w:tcPr>
          <w:p>
            <w:pPr>
              <w:pStyle w:val="TableContents"/>
              <w:bidi w:val="0"/>
              <w:spacing w:before="0" w:after="0"/>
              <w:ind w:left="0" w:right="0" w:firstLine="200"/>
              <w:jc w:val="left"/>
              <w:rPr/>
            </w:pPr>
            <w:r>
              <w:rPr/>
              <w:t> </w:t>
            </w:r>
          </w:p>
        </w:tc>
      </w:tr>
      <w:tr>
        <w:trPr/>
        <w:tc>
          <w:tcPr>
            <w:tcW w:w="71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29,149</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5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34,023</w:t>
            </w:r>
          </w:p>
        </w:tc>
        <w:tc>
          <w:tcPr>
            <w:tcW w:w="593" w:type="dxa"/>
            <w:tcBorders/>
            <w:vAlign w:val="center"/>
          </w:tcPr>
          <w:p>
            <w:pPr>
              <w:pStyle w:val="TableContents"/>
              <w:bidi w:val="0"/>
              <w:spacing w:before="0" w:after="0"/>
              <w:ind w:left="0" w:right="0" w:hanging="0"/>
              <w:jc w:val="left"/>
              <w:rPr/>
            </w:pPr>
            <w:r>
              <w:rPr/>
              <w:t> </w:t>
            </w:r>
          </w:p>
        </w:tc>
      </w:tr>
      <w:tr>
        <w:trPr/>
        <w:tc>
          <w:tcPr>
            <w:tcW w:w="71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8"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71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Preferred stock, $0.0001 par value - 20,000 shares authorized; none issued and outstanding as of June 30, 2023 and December 31, 2022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hanging="0"/>
              <w:jc w:val="left"/>
              <w:rPr/>
            </w:pPr>
            <w:r>
              <w:rPr/>
              <w:t> </w:t>
            </w:r>
          </w:p>
        </w:tc>
      </w:tr>
      <w:tr>
        <w:trPr/>
        <w:tc>
          <w:tcPr>
            <w:tcW w:w="71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Class A common stock, $0.0001 par value - 800,000 shares authorized; 25,517 and 25,295 issued and outstanding 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593" w:type="dxa"/>
            <w:tcBorders/>
            <w:vAlign w:val="center"/>
          </w:tcPr>
          <w:p>
            <w:pPr>
              <w:pStyle w:val="TableContents"/>
              <w:bidi w:val="0"/>
              <w:spacing w:before="0" w:after="0"/>
              <w:ind w:left="0" w:right="0" w:hanging="0"/>
              <w:jc w:val="left"/>
              <w:rPr/>
            </w:pPr>
            <w:r>
              <w:rPr/>
              <w:t> </w:t>
            </w:r>
          </w:p>
        </w:tc>
      </w:tr>
      <w:tr>
        <w:trPr/>
        <w:tc>
          <w:tcPr>
            <w:tcW w:w="71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Class B common stock, $0.0001 par value - 40,000 shares authorized; 24,116 issued and outstanding as of June 30, 2023 and December 31, 2022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93" w:type="dxa"/>
            <w:tcBorders/>
            <w:vAlign w:val="center"/>
          </w:tcPr>
          <w:p>
            <w:pPr>
              <w:pStyle w:val="TableContents"/>
              <w:bidi w:val="0"/>
              <w:spacing w:before="0" w:after="0"/>
              <w:ind w:left="0" w:right="0" w:hanging="0"/>
              <w:jc w:val="left"/>
              <w:rPr/>
            </w:pPr>
            <w:r>
              <w:rPr/>
              <w:t> </w:t>
            </w:r>
          </w:p>
        </w:tc>
      </w:tr>
      <w:tr>
        <w:trPr/>
        <w:tc>
          <w:tcPr>
            <w:tcW w:w="71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Class C common stock, $0.0001 par value - 20,000 shares authorized; none issued and outstanding as of June 30, 2023 and December 31, 2022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200"/>
              <w:jc w:val="left"/>
              <w:rPr/>
            </w:pPr>
            <w:r>
              <w:rPr/>
              <w:t> </w:t>
            </w:r>
          </w:p>
        </w:tc>
      </w:tr>
      <w:tr>
        <w:trPr/>
        <w:tc>
          <w:tcPr>
            <w:tcW w:w="71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75,842</w:t>
            </w:r>
          </w:p>
        </w:tc>
        <w:tc>
          <w:tcPr>
            <w:tcW w:w="593" w:type="dxa"/>
            <w:tcBorders/>
            <w:vAlign w:val="center"/>
          </w:tcPr>
          <w:p>
            <w:pPr>
              <w:pStyle w:val="TableContents"/>
              <w:bidi w:val="0"/>
              <w:spacing w:before="0" w:after="0"/>
              <w:ind w:left="0" w:right="0" w:firstLine="200"/>
              <w:jc w:val="left"/>
              <w:rPr/>
            </w:pPr>
            <w:r>
              <w:rPr/>
              <w:t> </w:t>
            </w:r>
          </w:p>
        </w:tc>
      </w:tr>
      <w:tr>
        <w:trPr/>
        <w:tc>
          <w:tcPr>
            <w:tcW w:w="71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59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(38,919</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stockholders' equity attributable to Rani Therapeutics Holdings, Inc.</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36,855</w:t>
            </w:r>
          </w:p>
        </w:tc>
        <w:tc>
          <w:tcPr>
            <w:tcW w:w="593" w:type="dxa"/>
            <w:tcBorders/>
            <w:vAlign w:val="center"/>
          </w:tcPr>
          <w:p>
            <w:pPr>
              <w:pStyle w:val="TableContents"/>
              <w:bidi w:val="0"/>
              <w:spacing w:before="0" w:after="0"/>
              <w:ind w:left="0" w:right="0" w:firstLine="200"/>
              <w:jc w:val="left"/>
              <w:rPr/>
            </w:pPr>
            <w:r>
              <w:rPr/>
              <w:t> </w:t>
            </w:r>
          </w:p>
        </w:tc>
      </w:tr>
      <w:tr>
        <w:trPr/>
        <w:tc>
          <w:tcPr>
            <w:tcW w:w="71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Non-controlling interest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37,149</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5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74,004</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5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108,027</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RANI THERAPEUTICS HOLDINGS, INC</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Condensed Consolidated Statements of Operations</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per share amounts)</w:t>
      </w:r>
      <w:r>
        <w:rPr>
          <w:rFonts w:ascii="Times New Roman" w:hAnsi="Times New Roman"/>
          <w:sz w:val="20"/>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4519"/>
        <w:gridCol w:w="146"/>
        <w:gridCol w:w="213"/>
        <w:gridCol w:w="744"/>
        <w:gridCol w:w="167"/>
        <w:gridCol w:w="147"/>
        <w:gridCol w:w="213"/>
        <w:gridCol w:w="744"/>
        <w:gridCol w:w="166"/>
        <w:gridCol w:w="146"/>
        <w:gridCol w:w="211"/>
        <w:gridCol w:w="736"/>
        <w:gridCol w:w="166"/>
        <w:gridCol w:w="146"/>
        <w:gridCol w:w="211"/>
        <w:gridCol w:w="736"/>
        <w:gridCol w:w="794"/>
      </w:tblGrid>
      <w:tr>
        <w:trPr/>
        <w:tc>
          <w:tcPr>
            <w:tcW w:w="4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451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2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1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9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57"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9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94" w:type="dxa"/>
            <w:tcBorders/>
            <w:vAlign w:val="center"/>
          </w:tcPr>
          <w:p>
            <w:pPr>
              <w:pStyle w:val="TableContents"/>
              <w:bidi w:val="0"/>
              <w:spacing w:before="0" w:after="0"/>
              <w:ind w:left="0" w:right="0" w:firstLine="200"/>
              <w:jc w:val="right"/>
              <w:rPr/>
            </w:pPr>
            <w:r>
              <w:rPr/>
              <w:t> </w:t>
            </w:r>
          </w:p>
        </w:tc>
      </w:tr>
      <w:tr>
        <w:trPr/>
        <w:tc>
          <w:tcPr>
            <w:tcW w:w="45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11,086</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17,118</w:t>
            </w:r>
          </w:p>
        </w:tc>
        <w:tc>
          <w:tcPr>
            <w:tcW w:w="794" w:type="dxa"/>
            <w:tcBorders/>
            <w:vAlign w:val="center"/>
          </w:tcPr>
          <w:p>
            <w:pPr>
              <w:pStyle w:val="TableContents"/>
              <w:bidi w:val="0"/>
              <w:spacing w:before="0" w:after="0"/>
              <w:ind w:left="0" w:right="0" w:firstLine="200"/>
              <w:jc w:val="left"/>
              <w:rPr/>
            </w:pPr>
            <w:r>
              <w:rPr/>
              <w:t> </w:t>
            </w:r>
          </w:p>
        </w:tc>
      </w:tr>
      <w:tr>
        <w:trPr/>
        <w:tc>
          <w:tcPr>
            <w:tcW w:w="45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7,208</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12,509</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1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18,294</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29,627</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4519"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(18,294</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(29,627</w:t>
            </w:r>
          </w:p>
        </w:tc>
        <w:tc>
          <w:tcPr>
            <w:tcW w:w="7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957"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9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94" w:type="dxa"/>
            <w:tcBorders/>
            <w:vAlign w:val="center"/>
          </w:tcPr>
          <w:p>
            <w:pPr>
              <w:pStyle w:val="TableContents"/>
              <w:bidi w:val="0"/>
              <w:spacing w:before="0" w:after="0"/>
              <w:ind w:left="0" w:right="0" w:firstLine="200"/>
              <w:jc w:val="right"/>
              <w:rPr/>
            </w:pPr>
            <w:r>
              <w:rPr/>
              <w:t> </w:t>
            </w:r>
          </w:p>
        </w:tc>
      </w:tr>
      <w:tr>
        <w:trPr/>
        <w:tc>
          <w:tcPr>
            <w:tcW w:w="45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and other, net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794" w:type="dxa"/>
            <w:tcBorders/>
            <w:vAlign w:val="center"/>
          </w:tcPr>
          <w:p>
            <w:pPr>
              <w:pStyle w:val="TableContents"/>
              <w:bidi w:val="0"/>
              <w:spacing w:before="0" w:after="0"/>
              <w:ind w:left="0" w:right="0" w:firstLine="200"/>
              <w:jc w:val="left"/>
              <w:rPr/>
            </w:pPr>
            <w:r>
              <w:rPr/>
              <w:t> </w:t>
            </w:r>
          </w:p>
        </w:tc>
      </w:tr>
      <w:tr>
        <w:trPr/>
        <w:tc>
          <w:tcPr>
            <w:tcW w:w="45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 and other, net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(1,266</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4519"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(18,664</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(29,577</w:t>
            </w:r>
          </w:p>
        </w:tc>
        <w:tc>
          <w:tcPr>
            <w:tcW w:w="79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5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(18,664</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(29,794</w:t>
            </w:r>
          </w:p>
        </w:tc>
        <w:tc>
          <w:tcPr>
            <w:tcW w:w="79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5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(9,361</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(15,947</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Rani Therapeutics Holdings, Inc.</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(9,303</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(17,675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(13,847</w:t>
            </w:r>
          </w:p>
        </w:tc>
        <w:tc>
          <w:tcPr>
            <w:tcW w:w="794"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5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per Class A common share attributable to Rani Therapeutics Holdings, Inc., basic and diluted</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(0.37</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(0.60</w:t>
            </w:r>
          </w:p>
        </w:tc>
        <w:tc>
          <w:tcPr>
            <w:tcW w:w="7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Class A common shares outstanding—basic and diluted</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25,345</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22,930</w:t>
            </w:r>
          </w:p>
        </w:tc>
        <w:tc>
          <w:tcPr>
            <w:tcW w:w="7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2242</Words>
  <Characters>12659</Characters>
  <CharactersWithSpaces>14991</CharactersWithSpaces>
  <Paragraphs>709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