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8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South Cone Investments Limited</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Partnership</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6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2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F3</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6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Rani Therapeutics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RANI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04/18/2023</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8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04/18/2023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1,850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5.3724</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6,837,848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300" w:type="dxa"/>
            <w:vAlign w:val="bottom"/>
            <w:gridSpan w:val="19"/>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F3</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7550000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F3</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7550000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$5.37 to $5.40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2023-04-20T14:27:17Z</dcterms:created>
  <dcterms:modified xsi:type="dcterms:W3CDTF">2023-04-20T14:27:17Z</dcterms:modified>
</cp:coreProperties>
</file>