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13D/A</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Rani Therapeutics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753018 100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Luis Felipe Correa González</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South Lake One LLC</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Avenida Presidente Riesco 5711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Oficina 1603,</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Las Condes, Santiago, Chile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+56 22 798-9600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Address and Telephone Number of Person Authorized</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13,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20" w:lineRule="exact"/>
        <w:rPr>
          <w:sz w:val="24"/>
          <w:szCs w:val="24"/>
          <w:color w:val="auto"/>
        </w:rPr>
      </w:pPr>
    </w:p>
    <w:p>
      <w:pPr>
        <w:ind w:right="380"/>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79"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Note: Schedules filed in paper format shall include a signed original and five copies of the schedule, including all exhibits. See § 240.13d-7(b) for other parties to whom copies are to be sent.</w:t>
      </w:r>
    </w:p>
    <w:p>
      <w:pPr>
        <w:spacing w:after="0" w:line="162" w:lineRule="exact"/>
        <w:rPr>
          <w:sz w:val="24"/>
          <w:szCs w:val="24"/>
          <w:color w:val="auto"/>
        </w:rPr>
      </w:pPr>
    </w:p>
    <w:p>
      <w:pPr>
        <w:ind w:firstLine="8"/>
        <w:spacing w:after="0" w:line="282" w:lineRule="auto"/>
        <w:tabs>
          <w:tab w:leader="none" w:pos="1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79" w:right="359" w:bottom="1440" w:gutter="0" w:footer="0" w:header="0"/>
        </w:sectPr>
      </w:pPr>
    </w:p>
    <w:bookmarkStart w:id="1" w:name="page2"/>
    <w:bookmarkEnd w:id="1"/>
    <w:p>
      <w:pPr>
        <w:ind w:left="11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772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6772275"/>
                    </a:xfrm>
                    <a:prstGeom prst="rect">
                      <a:avLst/>
                    </a:prstGeom>
                    <a:noFill/>
                  </pic:spPr>
                </pic:pic>
              </a:graphicData>
            </a:graphic>
          </wp:anchor>
        </w:drawing>
        <w:t>NAME OF REPORTING PERSONS</w:t>
      </w:r>
    </w:p>
    <w:p>
      <w:pPr>
        <w:ind w:left="1140" w:hanging="664"/>
        <w:spacing w:after="0" w:line="181" w:lineRule="auto"/>
        <w:tabs>
          <w:tab w:leader="none" w:pos="1140" w:val="left"/>
        </w:tabs>
        <w:numPr>
          <w:ilvl w:val="0"/>
          <w:numId w:val="2"/>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5"/>
          <w:szCs w:val="15"/>
          <w:color w:val="auto"/>
        </w:rPr>
        <w:t>I.R.S. IDENTIFICATION NOS. OF ABOVE PERSONS (ENTITIES ONLY)</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South Cone Investments Limited Partnership</w:t>
      </w:r>
    </w:p>
    <w:p>
      <w:pPr>
        <w:spacing w:after="0" w:line="21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96" w:lineRule="exact"/>
        <w:rPr>
          <w:sz w:val="20"/>
          <w:szCs w:val="20"/>
          <w:color w:val="auto"/>
        </w:rPr>
      </w:pPr>
    </w:p>
    <w:p>
      <w:pPr>
        <w:ind w:left="1140" w:hanging="664"/>
        <w:spacing w:after="0" w:line="207" w:lineRule="exact"/>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p>
      <w:pPr>
        <w:spacing w:after="0" w:line="57" w:lineRule="exact"/>
        <w:rPr>
          <w:rFonts w:ascii="Times New Roman" w:cs="Times New Roman" w:eastAsia="Times New Roman" w:hAnsi="Times New Roman"/>
          <w:sz w:val="18"/>
          <w:szCs w:val="18"/>
          <w:color w:val="auto"/>
        </w:rPr>
      </w:pPr>
    </w:p>
    <w:p>
      <w:pPr>
        <w:ind w:left="114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28" w:lineRule="exact"/>
        <w:rPr>
          <w:sz w:val="20"/>
          <w:szCs w:val="20"/>
          <w:color w:val="auto"/>
        </w:rPr>
      </w:pPr>
    </w:p>
    <w:p>
      <w:pPr>
        <w:ind w:left="1140" w:hanging="664"/>
        <w:spacing w:after="0"/>
        <w:tabs>
          <w:tab w:leader="none" w:pos="1140" w:val="left"/>
        </w:tabs>
        <w:numPr>
          <w:ilvl w:val="0"/>
          <w:numId w:val="4"/>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SEC USE ONLY</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946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620" w:type="dxa"/>
            <w:vAlign w:val="bottom"/>
            <w:vMerge w:val="continue"/>
          </w:tcPr>
          <w:p>
            <w:pPr>
              <w:spacing w:after="0"/>
              <w:rPr>
                <w:sz w:val="16"/>
                <w:szCs w:val="16"/>
                <w:color w:val="auto"/>
              </w:rPr>
            </w:pPr>
          </w:p>
        </w:tc>
        <w:tc>
          <w:tcPr>
            <w:tcW w:w="2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20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OO</w:t>
            </w:r>
          </w:p>
        </w:tc>
        <w:tc>
          <w:tcPr>
            <w:tcW w:w="900" w:type="dxa"/>
            <w:vAlign w:val="bottom"/>
          </w:tcPr>
          <w:p>
            <w:pPr>
              <w:spacing w:after="0"/>
              <w:rPr>
                <w:sz w:val="21"/>
                <w:szCs w:val="21"/>
                <w:color w:val="auto"/>
              </w:rPr>
            </w:pPr>
          </w:p>
        </w:tc>
        <w:tc>
          <w:tcPr>
            <w:tcW w:w="65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4"/>
        </w:trPr>
        <w:tc>
          <w:tcPr>
            <w:tcW w:w="620" w:type="dxa"/>
            <w:vAlign w:val="bottom"/>
            <w:tcBorders>
              <w:bottom w:val="single" w:sz="8" w:color="auto"/>
            </w:tcBorders>
          </w:tcPr>
          <w:p>
            <w:pPr>
              <w:spacing w:after="0"/>
              <w:rPr>
                <w:sz w:val="8"/>
                <w:szCs w:val="8"/>
                <w:color w:val="auto"/>
              </w:rPr>
            </w:pPr>
          </w:p>
        </w:tc>
        <w:tc>
          <w:tcPr>
            <w:tcW w:w="9460" w:type="dxa"/>
            <w:vAlign w:val="bottom"/>
            <w:tcBorders>
              <w:bottom w:val="single" w:sz="8" w:color="auto"/>
            </w:tcBorders>
            <w:gridSpan w:val="3"/>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946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116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61"/>
        </w:trPr>
        <w:tc>
          <w:tcPr>
            <w:tcW w:w="620" w:type="dxa"/>
            <w:vAlign w:val="bottom"/>
            <w:vMerge w:val="continue"/>
          </w:tcPr>
          <w:p>
            <w:pPr>
              <w:spacing w:after="0"/>
              <w:rPr>
                <w:sz w:val="5"/>
                <w:szCs w:val="5"/>
                <w:color w:val="auto"/>
              </w:rPr>
            </w:pPr>
          </w:p>
        </w:tc>
        <w:tc>
          <w:tcPr>
            <w:tcW w:w="2000" w:type="dxa"/>
            <w:vAlign w:val="bottom"/>
          </w:tcPr>
          <w:p>
            <w:pPr>
              <w:spacing w:after="0"/>
              <w:rPr>
                <w:sz w:val="5"/>
                <w:szCs w:val="5"/>
                <w:color w:val="auto"/>
              </w:rPr>
            </w:pPr>
          </w:p>
        </w:tc>
        <w:tc>
          <w:tcPr>
            <w:tcW w:w="900" w:type="dxa"/>
            <w:vAlign w:val="bottom"/>
          </w:tcPr>
          <w:p>
            <w:pPr>
              <w:spacing w:after="0"/>
              <w:rPr>
                <w:sz w:val="5"/>
                <w:szCs w:val="5"/>
                <w:color w:val="auto"/>
              </w:rPr>
            </w:pPr>
          </w:p>
        </w:tc>
        <w:tc>
          <w:tcPr>
            <w:tcW w:w="65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620" w:type="dxa"/>
            <w:vAlign w:val="bottom"/>
            <w:tcBorders>
              <w:bottom w:val="single" w:sz="8" w:color="auto"/>
            </w:tcBorders>
          </w:tcPr>
          <w:p>
            <w:pPr>
              <w:spacing w:after="0"/>
              <w:rPr>
                <w:sz w:val="19"/>
                <w:szCs w:val="19"/>
                <w:color w:val="auto"/>
              </w:rPr>
            </w:pPr>
          </w:p>
        </w:tc>
        <w:tc>
          <w:tcPr>
            <w:tcW w:w="9460" w:type="dxa"/>
            <w:vAlign w:val="bottom"/>
            <w:tcBorders>
              <w:bottom w:val="single" w:sz="8" w:color="auto"/>
            </w:tcBorders>
            <w:gridSpan w:val="3"/>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46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20" w:type="dxa"/>
            <w:vAlign w:val="bottom"/>
            <w:vMerge w:val="continue"/>
          </w:tcPr>
          <w:p>
            <w:pPr>
              <w:spacing w:after="0"/>
              <w:rPr>
                <w:sz w:val="16"/>
                <w:szCs w:val="16"/>
                <w:color w:val="auto"/>
              </w:rPr>
            </w:pPr>
          </w:p>
        </w:tc>
        <w:tc>
          <w:tcPr>
            <w:tcW w:w="2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20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Canada</w:t>
            </w:r>
          </w:p>
        </w:tc>
        <w:tc>
          <w:tcPr>
            <w:tcW w:w="900" w:type="dxa"/>
            <w:vAlign w:val="bottom"/>
          </w:tcPr>
          <w:p>
            <w:pPr>
              <w:spacing w:after="0"/>
              <w:rPr>
                <w:sz w:val="21"/>
                <w:szCs w:val="21"/>
                <w:color w:val="auto"/>
              </w:rPr>
            </w:pPr>
          </w:p>
        </w:tc>
        <w:tc>
          <w:tcPr>
            <w:tcW w:w="65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4"/>
        </w:trPr>
        <w:tc>
          <w:tcPr>
            <w:tcW w:w="62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5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620" w:type="dxa"/>
            <w:vAlign w:val="bottom"/>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6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620" w:type="dxa"/>
            <w:vAlign w:val="bottom"/>
          </w:tcPr>
          <w:p>
            <w:pPr>
              <w:spacing w:after="0"/>
              <w:rPr>
                <w:sz w:val="10"/>
                <w:szCs w:val="10"/>
                <w:color w:val="auto"/>
              </w:rPr>
            </w:pPr>
          </w:p>
        </w:tc>
        <w:tc>
          <w:tcPr>
            <w:tcW w:w="2000" w:type="dxa"/>
            <w:vAlign w:val="bottom"/>
            <w:tcBorders>
              <w:right w:val="single" w:sz="8" w:color="auto"/>
            </w:tcBorders>
            <w:vMerge w:val="restart"/>
          </w:tcPr>
          <w:p>
            <w:pPr>
              <w:jc w:val="center"/>
              <w:ind w:right="530"/>
              <w:spacing w:after="0"/>
              <w:rPr>
                <w:sz w:val="20"/>
                <w:szCs w:val="20"/>
                <w:color w:val="auto"/>
              </w:rPr>
            </w:pPr>
            <w:r>
              <w:rPr>
                <w:rFonts w:ascii="Times New Roman" w:cs="Times New Roman" w:eastAsia="Times New Roman" w:hAnsi="Times New Roman"/>
                <w:sz w:val="18"/>
                <w:szCs w:val="18"/>
                <w:color w:val="auto"/>
              </w:rPr>
              <w:t>NUMBER OF</w:t>
            </w:r>
          </w:p>
        </w:tc>
        <w:tc>
          <w:tcPr>
            <w:tcW w:w="900" w:type="dxa"/>
            <w:vAlign w:val="bottom"/>
            <w:tcBorders>
              <w:right w:val="single" w:sz="8" w:color="auto"/>
            </w:tcBorders>
            <w:vMerge w:val="continue"/>
          </w:tcPr>
          <w:p>
            <w:pPr>
              <w:spacing w:after="0"/>
              <w:rPr>
                <w:sz w:val="10"/>
                <w:szCs w:val="10"/>
                <w:color w:val="auto"/>
              </w:rPr>
            </w:pPr>
          </w:p>
        </w:tc>
        <w:tc>
          <w:tcPr>
            <w:tcW w:w="65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6,778,550</w:t>
            </w: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20" w:type="dxa"/>
            <w:vAlign w:val="bottom"/>
          </w:tcPr>
          <w:p>
            <w:pPr>
              <w:spacing w:after="0"/>
              <w:rPr>
                <w:sz w:val="9"/>
                <w:szCs w:val="9"/>
                <w:color w:val="auto"/>
              </w:rPr>
            </w:pPr>
          </w:p>
        </w:tc>
        <w:tc>
          <w:tcPr>
            <w:tcW w:w="200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656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620" w:type="dxa"/>
            <w:vAlign w:val="bottom"/>
          </w:tcPr>
          <w:p>
            <w:pPr>
              <w:spacing w:after="0"/>
              <w:rPr>
                <w:sz w:val="5"/>
                <w:szCs w:val="5"/>
                <w:color w:val="auto"/>
              </w:rPr>
            </w:pPr>
          </w:p>
        </w:tc>
        <w:tc>
          <w:tcPr>
            <w:tcW w:w="2000" w:type="dxa"/>
            <w:vAlign w:val="bottom"/>
            <w:tcBorders>
              <w:right w:val="single" w:sz="8" w:color="auto"/>
            </w:tcBorders>
            <w:vMerge w:val="continue"/>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65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
        </w:trPr>
        <w:tc>
          <w:tcPr>
            <w:tcW w:w="620" w:type="dxa"/>
            <w:vAlign w:val="bottom"/>
          </w:tcPr>
          <w:p>
            <w:pPr>
              <w:spacing w:after="0"/>
              <w:rPr>
                <w:sz w:val="2"/>
                <w:szCs w:val="2"/>
                <w:color w:val="auto"/>
              </w:rPr>
            </w:pPr>
          </w:p>
        </w:tc>
        <w:tc>
          <w:tcPr>
            <w:tcW w:w="2000" w:type="dxa"/>
            <w:vAlign w:val="bottom"/>
            <w:tcBorders>
              <w:right w:val="single" w:sz="8" w:color="auto"/>
            </w:tcBorders>
            <w:vMerge w:val="restart"/>
          </w:tcPr>
          <w:p>
            <w:pPr>
              <w:jc w:val="center"/>
              <w:ind w:right="530"/>
              <w:spacing w:after="0"/>
              <w:rPr>
                <w:sz w:val="20"/>
                <w:szCs w:val="20"/>
                <w:color w:val="auto"/>
              </w:rPr>
            </w:pPr>
            <w:r>
              <w:rPr>
                <w:rFonts w:ascii="Times New Roman" w:cs="Times New Roman" w:eastAsia="Times New Roman" w:hAnsi="Times New Roman"/>
                <w:sz w:val="18"/>
                <w:szCs w:val="18"/>
                <w:color w:val="auto"/>
              </w:rPr>
              <w:t>SHARES</w:t>
            </w:r>
          </w:p>
        </w:tc>
        <w:tc>
          <w:tcPr>
            <w:tcW w:w="900" w:type="dxa"/>
            <w:vAlign w:val="bottom"/>
            <w:tcBorders>
              <w:bottom w:val="single" w:sz="8" w:color="auto"/>
              <w:right w:val="single" w:sz="8" w:color="auto"/>
            </w:tcBorders>
          </w:tcPr>
          <w:p>
            <w:pPr>
              <w:spacing w:after="0"/>
              <w:rPr>
                <w:sz w:val="2"/>
                <w:szCs w:val="2"/>
                <w:color w:val="auto"/>
              </w:rPr>
            </w:pPr>
          </w:p>
        </w:tc>
        <w:tc>
          <w:tcPr>
            <w:tcW w:w="6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620" w:type="dxa"/>
            <w:vAlign w:val="bottom"/>
          </w:tcPr>
          <w:p>
            <w:pPr>
              <w:spacing w:after="0"/>
              <w:rPr>
                <w:sz w:val="14"/>
                <w:szCs w:val="14"/>
                <w:color w:val="auto"/>
              </w:rPr>
            </w:pPr>
          </w:p>
        </w:tc>
        <w:tc>
          <w:tcPr>
            <w:tcW w:w="2000" w:type="dxa"/>
            <w:vAlign w:val="bottom"/>
            <w:tcBorders>
              <w:right w:val="single" w:sz="8" w:color="auto"/>
            </w:tcBorders>
            <w:vMerge w:val="continue"/>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65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620" w:type="dxa"/>
            <w:vAlign w:val="bottom"/>
          </w:tcPr>
          <w:p>
            <w:pPr>
              <w:spacing w:after="0"/>
              <w:rPr>
                <w:sz w:val="10"/>
                <w:szCs w:val="10"/>
                <w:color w:val="auto"/>
              </w:rPr>
            </w:pPr>
          </w:p>
        </w:tc>
        <w:tc>
          <w:tcPr>
            <w:tcW w:w="2000" w:type="dxa"/>
            <w:vAlign w:val="bottom"/>
            <w:tcBorders>
              <w:right w:val="single" w:sz="8" w:color="auto"/>
            </w:tcBorders>
            <w:vMerge w:val="restart"/>
          </w:tcPr>
          <w:p>
            <w:pPr>
              <w:jc w:val="center"/>
              <w:ind w:right="530"/>
              <w:spacing w:after="0"/>
              <w:rPr>
                <w:sz w:val="20"/>
                <w:szCs w:val="20"/>
                <w:color w:val="auto"/>
              </w:rPr>
            </w:pPr>
            <w:r>
              <w:rPr>
                <w:rFonts w:ascii="Times New Roman" w:cs="Times New Roman" w:eastAsia="Times New Roman" w:hAnsi="Times New Roman"/>
                <w:sz w:val="18"/>
                <w:szCs w:val="18"/>
                <w:color w:val="auto"/>
                <w:w w:val="97"/>
              </w:rPr>
              <w:t>BENEFICIALLY</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656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620" w:type="dxa"/>
            <w:vAlign w:val="bottom"/>
          </w:tcPr>
          <w:p>
            <w:pPr>
              <w:spacing w:after="0"/>
              <w:rPr>
                <w:sz w:val="8"/>
                <w:szCs w:val="8"/>
                <w:color w:val="auto"/>
              </w:rPr>
            </w:pPr>
          </w:p>
        </w:tc>
        <w:tc>
          <w:tcPr>
            <w:tcW w:w="2000" w:type="dxa"/>
            <w:vAlign w:val="bottom"/>
            <w:tcBorders>
              <w:right w:val="single" w:sz="8" w:color="auto"/>
            </w:tcBorders>
            <w:vMerge w:val="continue"/>
          </w:tcPr>
          <w:p>
            <w:pPr>
              <w:spacing w:after="0"/>
              <w:rPr>
                <w:sz w:val="8"/>
                <w:szCs w:val="8"/>
                <w:color w:val="auto"/>
              </w:rPr>
            </w:pPr>
          </w:p>
        </w:tc>
        <w:tc>
          <w:tcPr>
            <w:tcW w:w="900" w:type="dxa"/>
            <w:vAlign w:val="bottom"/>
            <w:tcBorders>
              <w:right w:val="single" w:sz="8" w:color="auto"/>
            </w:tcBorders>
            <w:vMerge w:val="continue"/>
          </w:tcPr>
          <w:p>
            <w:pPr>
              <w:spacing w:after="0"/>
              <w:rPr>
                <w:sz w:val="8"/>
                <w:szCs w:val="8"/>
                <w:color w:val="auto"/>
              </w:rPr>
            </w:pPr>
          </w:p>
        </w:tc>
        <w:tc>
          <w:tcPr>
            <w:tcW w:w="65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620" w:type="dxa"/>
            <w:vAlign w:val="bottom"/>
          </w:tcPr>
          <w:p>
            <w:pPr>
              <w:spacing w:after="0"/>
              <w:rPr>
                <w:sz w:val="12"/>
                <w:szCs w:val="12"/>
                <w:color w:val="auto"/>
              </w:rPr>
            </w:pPr>
          </w:p>
        </w:tc>
        <w:tc>
          <w:tcPr>
            <w:tcW w:w="2000" w:type="dxa"/>
            <w:vAlign w:val="bottom"/>
            <w:tcBorders>
              <w:right w:val="single" w:sz="8" w:color="auto"/>
            </w:tcBorders>
            <w:vMerge w:val="restart"/>
          </w:tcPr>
          <w:p>
            <w:pPr>
              <w:jc w:val="center"/>
              <w:ind w:right="530"/>
              <w:spacing w:after="0"/>
              <w:rPr>
                <w:sz w:val="20"/>
                <w:szCs w:val="20"/>
                <w:color w:val="auto"/>
              </w:rPr>
            </w:pPr>
            <w:r>
              <w:rPr>
                <w:rFonts w:ascii="Times New Roman" w:cs="Times New Roman" w:eastAsia="Times New Roman" w:hAnsi="Times New Roman"/>
                <w:sz w:val="18"/>
                <w:szCs w:val="18"/>
                <w:color w:val="auto"/>
              </w:rPr>
              <w:t>OWNED BY</w:t>
            </w:r>
          </w:p>
        </w:tc>
        <w:tc>
          <w:tcPr>
            <w:tcW w:w="900" w:type="dxa"/>
            <w:vAlign w:val="bottom"/>
            <w:tcBorders>
              <w:right w:val="single" w:sz="8" w:color="auto"/>
            </w:tcBorders>
          </w:tcPr>
          <w:p>
            <w:pPr>
              <w:spacing w:after="0"/>
              <w:rPr>
                <w:sz w:val="12"/>
                <w:szCs w:val="12"/>
                <w:color w:val="auto"/>
              </w:rPr>
            </w:pPr>
          </w:p>
        </w:tc>
        <w:tc>
          <w:tcPr>
            <w:tcW w:w="6560" w:type="dxa"/>
            <w:vAlign w:val="bottom"/>
            <w:vMerge w:val="continue"/>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620" w:type="dxa"/>
            <w:vAlign w:val="bottom"/>
          </w:tcPr>
          <w:p>
            <w:pPr>
              <w:spacing w:after="0"/>
              <w:rPr>
                <w:sz w:val="8"/>
                <w:szCs w:val="8"/>
                <w:color w:val="auto"/>
              </w:rPr>
            </w:pPr>
          </w:p>
        </w:tc>
        <w:tc>
          <w:tcPr>
            <w:tcW w:w="2000" w:type="dxa"/>
            <w:vAlign w:val="bottom"/>
            <w:tcBorders>
              <w:right w:val="single" w:sz="8" w:color="auto"/>
            </w:tcBorders>
            <w:vMerge w:val="continue"/>
          </w:tcPr>
          <w:p>
            <w:pPr>
              <w:spacing w:after="0"/>
              <w:rPr>
                <w:sz w:val="8"/>
                <w:szCs w:val="8"/>
                <w:color w:val="auto"/>
              </w:rPr>
            </w:pPr>
          </w:p>
        </w:tc>
        <w:tc>
          <w:tcPr>
            <w:tcW w:w="900" w:type="dxa"/>
            <w:vAlign w:val="bottom"/>
            <w:tcBorders>
              <w:bottom w:val="single" w:sz="8" w:color="auto"/>
              <w:right w:val="single" w:sz="8" w:color="auto"/>
            </w:tcBorders>
          </w:tcPr>
          <w:p>
            <w:pPr>
              <w:spacing w:after="0"/>
              <w:rPr>
                <w:sz w:val="8"/>
                <w:szCs w:val="8"/>
                <w:color w:val="auto"/>
              </w:rPr>
            </w:pPr>
          </w:p>
        </w:tc>
        <w:tc>
          <w:tcPr>
            <w:tcW w:w="65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620" w:type="dxa"/>
            <w:vAlign w:val="bottom"/>
          </w:tcPr>
          <w:p>
            <w:pPr>
              <w:spacing w:after="0"/>
              <w:rPr>
                <w:sz w:val="15"/>
                <w:szCs w:val="15"/>
                <w:color w:val="auto"/>
              </w:rPr>
            </w:pPr>
          </w:p>
        </w:tc>
        <w:tc>
          <w:tcPr>
            <w:tcW w:w="2000" w:type="dxa"/>
            <w:vAlign w:val="bottom"/>
            <w:tcBorders>
              <w:right w:val="single" w:sz="8" w:color="auto"/>
            </w:tcBorders>
          </w:tcPr>
          <w:p>
            <w:pPr>
              <w:jc w:val="center"/>
              <w:ind w:right="53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900" w:type="dxa"/>
            <w:vAlign w:val="bottom"/>
            <w:tcBorders>
              <w:right w:val="single" w:sz="8" w:color="auto"/>
            </w:tcBorders>
          </w:tcPr>
          <w:p>
            <w:pPr>
              <w:spacing w:after="0"/>
              <w:rPr>
                <w:sz w:val="15"/>
                <w:szCs w:val="15"/>
                <w:color w:val="auto"/>
              </w:rPr>
            </w:pPr>
          </w:p>
        </w:tc>
        <w:tc>
          <w:tcPr>
            <w:tcW w:w="65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620" w:type="dxa"/>
            <w:vAlign w:val="bottom"/>
          </w:tcPr>
          <w:p>
            <w:pPr>
              <w:spacing w:after="0"/>
              <w:rPr>
                <w:sz w:val="9"/>
                <w:szCs w:val="9"/>
                <w:color w:val="auto"/>
              </w:rPr>
            </w:pPr>
          </w:p>
        </w:tc>
        <w:tc>
          <w:tcPr>
            <w:tcW w:w="2000" w:type="dxa"/>
            <w:vAlign w:val="bottom"/>
            <w:tcBorders>
              <w:right w:val="single" w:sz="8" w:color="auto"/>
            </w:tcBorders>
            <w:vMerge w:val="restart"/>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656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20" w:type="dxa"/>
            <w:vAlign w:val="bottom"/>
          </w:tcPr>
          <w:p>
            <w:pPr>
              <w:spacing w:after="0"/>
              <w:rPr>
                <w:sz w:val="9"/>
                <w:szCs w:val="9"/>
                <w:color w:val="auto"/>
              </w:rPr>
            </w:pPr>
          </w:p>
        </w:tc>
        <w:tc>
          <w:tcPr>
            <w:tcW w:w="200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65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6,778,550</w:t>
            </w: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620" w:type="dxa"/>
            <w:vAlign w:val="bottom"/>
          </w:tcPr>
          <w:p>
            <w:pPr>
              <w:spacing w:after="0"/>
              <w:rPr>
                <w:sz w:val="10"/>
                <w:szCs w:val="10"/>
                <w:color w:val="auto"/>
              </w:rPr>
            </w:pPr>
          </w:p>
        </w:tc>
        <w:tc>
          <w:tcPr>
            <w:tcW w:w="2000" w:type="dxa"/>
            <w:vAlign w:val="bottom"/>
            <w:tcBorders>
              <w:right w:val="single" w:sz="8" w:color="auto"/>
            </w:tcBorders>
            <w:vMerge w:val="restart"/>
          </w:tcPr>
          <w:p>
            <w:pPr>
              <w:jc w:val="center"/>
              <w:ind w:right="530"/>
              <w:spacing w:after="0"/>
              <w:rPr>
                <w:sz w:val="20"/>
                <w:szCs w:val="20"/>
                <w:color w:val="auto"/>
              </w:rPr>
            </w:pPr>
            <w:r>
              <w:rPr>
                <w:rFonts w:ascii="Times New Roman" w:cs="Times New Roman" w:eastAsia="Times New Roman" w:hAnsi="Times New Roman"/>
                <w:sz w:val="18"/>
                <w:szCs w:val="18"/>
                <w:color w:val="auto"/>
              </w:rPr>
              <w:t>PERSON</w:t>
            </w:r>
          </w:p>
        </w:tc>
        <w:tc>
          <w:tcPr>
            <w:tcW w:w="900" w:type="dxa"/>
            <w:vAlign w:val="bottom"/>
            <w:tcBorders>
              <w:right w:val="single" w:sz="8" w:color="auto"/>
            </w:tcBorders>
          </w:tcPr>
          <w:p>
            <w:pPr>
              <w:spacing w:after="0"/>
              <w:rPr>
                <w:sz w:val="10"/>
                <w:szCs w:val="10"/>
                <w:color w:val="auto"/>
              </w:rPr>
            </w:pPr>
          </w:p>
        </w:tc>
        <w:tc>
          <w:tcPr>
            <w:tcW w:w="656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620" w:type="dxa"/>
            <w:vAlign w:val="bottom"/>
          </w:tcPr>
          <w:p>
            <w:pPr>
              <w:spacing w:after="0"/>
              <w:rPr>
                <w:sz w:val="8"/>
                <w:szCs w:val="8"/>
                <w:color w:val="auto"/>
              </w:rPr>
            </w:pPr>
          </w:p>
        </w:tc>
        <w:tc>
          <w:tcPr>
            <w:tcW w:w="2000" w:type="dxa"/>
            <w:vAlign w:val="bottom"/>
            <w:tcBorders>
              <w:right w:val="single" w:sz="8" w:color="auto"/>
            </w:tcBorders>
            <w:vMerge w:val="continue"/>
          </w:tcPr>
          <w:p>
            <w:pPr>
              <w:spacing w:after="0"/>
              <w:rPr>
                <w:sz w:val="8"/>
                <w:szCs w:val="8"/>
                <w:color w:val="auto"/>
              </w:rPr>
            </w:pPr>
          </w:p>
        </w:tc>
        <w:tc>
          <w:tcPr>
            <w:tcW w:w="900" w:type="dxa"/>
            <w:vAlign w:val="bottom"/>
            <w:tcBorders>
              <w:bottom w:val="single" w:sz="8" w:color="auto"/>
              <w:right w:val="single" w:sz="8" w:color="auto"/>
            </w:tcBorders>
          </w:tcPr>
          <w:p>
            <w:pPr>
              <w:spacing w:after="0"/>
              <w:rPr>
                <w:sz w:val="8"/>
                <w:szCs w:val="8"/>
                <w:color w:val="auto"/>
              </w:rPr>
            </w:pPr>
          </w:p>
        </w:tc>
        <w:tc>
          <w:tcPr>
            <w:tcW w:w="65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620" w:type="dxa"/>
            <w:vAlign w:val="bottom"/>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620" w:type="dxa"/>
            <w:vAlign w:val="bottom"/>
          </w:tcPr>
          <w:p>
            <w:pPr>
              <w:spacing w:after="0"/>
              <w:rPr>
                <w:sz w:val="10"/>
                <w:szCs w:val="10"/>
                <w:color w:val="auto"/>
              </w:rPr>
            </w:pPr>
          </w:p>
        </w:tc>
        <w:tc>
          <w:tcPr>
            <w:tcW w:w="20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vMerge w:val="continue"/>
          </w:tcPr>
          <w:p>
            <w:pPr>
              <w:spacing w:after="0"/>
              <w:rPr>
                <w:sz w:val="10"/>
                <w:szCs w:val="10"/>
                <w:color w:val="auto"/>
              </w:rPr>
            </w:pPr>
          </w:p>
        </w:tc>
        <w:tc>
          <w:tcPr>
            <w:tcW w:w="65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20" w:type="dxa"/>
            <w:vAlign w:val="bottom"/>
          </w:tcPr>
          <w:p>
            <w:pPr>
              <w:spacing w:after="0"/>
              <w:rPr>
                <w:sz w:val="9"/>
                <w:szCs w:val="9"/>
                <w:color w:val="auto"/>
              </w:rPr>
            </w:pPr>
          </w:p>
        </w:tc>
        <w:tc>
          <w:tcPr>
            <w:tcW w:w="200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656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620" w:type="dxa"/>
            <w:vAlign w:val="bottom"/>
            <w:tcBorders>
              <w:bottom w:val="single" w:sz="8" w:color="auto"/>
            </w:tcBorders>
          </w:tcPr>
          <w:p>
            <w:pPr>
              <w:spacing w:after="0"/>
              <w:rPr>
                <w:sz w:val="8"/>
                <w:szCs w:val="8"/>
                <w:color w:val="auto"/>
              </w:rPr>
            </w:pPr>
          </w:p>
        </w:tc>
        <w:tc>
          <w:tcPr>
            <w:tcW w:w="2000" w:type="dxa"/>
            <w:vAlign w:val="bottom"/>
            <w:tcBorders>
              <w:bottom w:val="single" w:sz="8" w:color="auto"/>
              <w:right w:val="single" w:sz="8" w:color="auto"/>
            </w:tcBorders>
          </w:tcPr>
          <w:p>
            <w:pPr>
              <w:spacing w:after="0"/>
              <w:rPr>
                <w:sz w:val="8"/>
                <w:szCs w:val="8"/>
                <w:color w:val="auto"/>
              </w:rPr>
            </w:pPr>
          </w:p>
        </w:tc>
        <w:tc>
          <w:tcPr>
            <w:tcW w:w="900" w:type="dxa"/>
            <w:vAlign w:val="bottom"/>
            <w:tcBorders>
              <w:bottom w:val="single" w:sz="8" w:color="auto"/>
              <w:right w:val="single" w:sz="8" w:color="auto"/>
            </w:tcBorders>
          </w:tcPr>
          <w:p>
            <w:pPr>
              <w:spacing w:after="0"/>
              <w:rPr>
                <w:sz w:val="8"/>
                <w:szCs w:val="8"/>
                <w:color w:val="auto"/>
              </w:rPr>
            </w:pPr>
          </w:p>
        </w:tc>
        <w:tc>
          <w:tcPr>
            <w:tcW w:w="65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w:t>
      </w:r>
    </w:p>
    <w:p>
      <w:pPr>
        <w:spacing w:after="0" w:line="1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6,778,550</w:t>
      </w:r>
    </w:p>
    <w:p>
      <w:pPr>
        <w:spacing w:after="0" w:line="183" w:lineRule="exact"/>
        <w:rPr>
          <w:sz w:val="20"/>
          <w:szCs w:val="20"/>
          <w:color w:val="auto"/>
        </w:rPr>
      </w:pPr>
    </w:p>
    <w:tbl>
      <w:tblPr>
        <w:tblLayout w:type="fixed"/>
        <w:tblInd w:w="440" w:type="dxa"/>
        <w:tblCellMar>
          <w:top w:w="0" w:type="dxa"/>
          <w:left w:w="0" w:type="dxa"/>
          <w:bottom w:w="0" w:type="dxa"/>
          <w:right w:w="0" w:type="dxa"/>
        </w:tblCellMar>
      </w:tblPr>
      <w:tr>
        <w:trPr>
          <w:trHeight w:val="283"/>
        </w:trPr>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12</w:t>
            </w:r>
          </w:p>
        </w:tc>
        <w:tc>
          <w:tcPr>
            <w:tcW w:w="9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 (See Instructions)</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5" w:lineRule="exact"/>
        <w:rPr>
          <w:sz w:val="20"/>
          <w:szCs w:val="20"/>
          <w:color w:val="auto"/>
        </w:rPr>
      </w:pPr>
    </w:p>
    <w:p>
      <w:pPr>
        <w:ind w:left="1140" w:right="4960" w:hanging="709"/>
        <w:spacing w:after="0" w:line="184" w:lineRule="auto"/>
        <w:tabs>
          <w:tab w:leader="none" w:pos="1140" w:val="left"/>
        </w:tabs>
        <w:numPr>
          <w:ilvl w:val="0"/>
          <w:numId w:val="5"/>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PERCENT OF CLASS REPRESENTED BY AMOUNT IN ROW (11) 27.20%</w:t>
      </w:r>
    </w:p>
    <w:p>
      <w:pPr>
        <w:spacing w:after="0" w:line="18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TYPE OF REPORTING PERSON (See Instructions)</w:t>
      </w: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14</w:t>
      </w:r>
    </w:p>
    <w:p>
      <w:pPr>
        <w:spacing w:after="0" w:line="1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 w:name="page3"/>
    <w:bookmarkEnd w:id="2"/>
    <w:p>
      <w:pPr>
        <w:ind w:left="11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6772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6772275"/>
                    </a:xfrm>
                    <a:prstGeom prst="rect">
                      <a:avLst/>
                    </a:prstGeom>
                    <a:noFill/>
                  </pic:spPr>
                </pic:pic>
              </a:graphicData>
            </a:graphic>
          </wp:anchor>
        </w:drawing>
        <w:t>NAME OF REPORTING PERSONS</w:t>
      </w:r>
    </w:p>
    <w:p>
      <w:pPr>
        <w:ind w:left="1140" w:hanging="664"/>
        <w:spacing w:after="0" w:line="181" w:lineRule="auto"/>
        <w:tabs>
          <w:tab w:leader="none" w:pos="1140" w:val="left"/>
        </w:tabs>
        <w:numPr>
          <w:ilvl w:val="0"/>
          <w:numId w:val="6"/>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5"/>
          <w:szCs w:val="15"/>
          <w:color w:val="auto"/>
        </w:rPr>
        <w:t>I.R.S. IDENTIFICATION NOS. OF ABOVE PERSONS (ENTITIES ONLY)</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South Lake One LLC</w:t>
      </w:r>
    </w:p>
    <w:p>
      <w:pPr>
        <w:spacing w:after="0" w:line="21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96" w:lineRule="exact"/>
        <w:rPr>
          <w:sz w:val="20"/>
          <w:szCs w:val="20"/>
          <w:color w:val="auto"/>
        </w:rPr>
      </w:pPr>
    </w:p>
    <w:p>
      <w:pPr>
        <w:ind w:left="1140" w:hanging="664"/>
        <w:spacing w:after="0" w:line="207" w:lineRule="exact"/>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p>
      <w:pPr>
        <w:spacing w:after="0" w:line="57" w:lineRule="exact"/>
        <w:rPr>
          <w:rFonts w:ascii="Times New Roman" w:cs="Times New Roman" w:eastAsia="Times New Roman" w:hAnsi="Times New Roman"/>
          <w:sz w:val="18"/>
          <w:szCs w:val="18"/>
          <w:color w:val="auto"/>
        </w:rPr>
      </w:pPr>
    </w:p>
    <w:p>
      <w:pPr>
        <w:ind w:left="114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28" w:lineRule="exact"/>
        <w:rPr>
          <w:sz w:val="20"/>
          <w:szCs w:val="20"/>
          <w:color w:val="auto"/>
        </w:rPr>
      </w:pPr>
    </w:p>
    <w:p>
      <w:pPr>
        <w:ind w:left="1140" w:hanging="664"/>
        <w:spacing w:after="0"/>
        <w:tabs>
          <w:tab w:leader="none" w:pos="1140" w:val="left"/>
        </w:tabs>
        <w:numPr>
          <w:ilvl w:val="0"/>
          <w:numId w:val="8"/>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SEC USE ONLY</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946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620" w:type="dxa"/>
            <w:vAlign w:val="bottom"/>
            <w:vMerge w:val="continue"/>
          </w:tcPr>
          <w:p>
            <w:pPr>
              <w:spacing w:after="0"/>
              <w:rPr>
                <w:sz w:val="16"/>
                <w:szCs w:val="16"/>
                <w:color w:val="auto"/>
              </w:rPr>
            </w:pPr>
          </w:p>
        </w:tc>
        <w:tc>
          <w:tcPr>
            <w:tcW w:w="2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20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OO</w:t>
            </w:r>
          </w:p>
        </w:tc>
        <w:tc>
          <w:tcPr>
            <w:tcW w:w="900" w:type="dxa"/>
            <w:vAlign w:val="bottom"/>
          </w:tcPr>
          <w:p>
            <w:pPr>
              <w:spacing w:after="0"/>
              <w:rPr>
                <w:sz w:val="21"/>
                <w:szCs w:val="21"/>
                <w:color w:val="auto"/>
              </w:rPr>
            </w:pPr>
          </w:p>
        </w:tc>
        <w:tc>
          <w:tcPr>
            <w:tcW w:w="65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4"/>
        </w:trPr>
        <w:tc>
          <w:tcPr>
            <w:tcW w:w="620" w:type="dxa"/>
            <w:vAlign w:val="bottom"/>
            <w:tcBorders>
              <w:bottom w:val="single" w:sz="8" w:color="auto"/>
            </w:tcBorders>
          </w:tcPr>
          <w:p>
            <w:pPr>
              <w:spacing w:after="0"/>
              <w:rPr>
                <w:sz w:val="8"/>
                <w:szCs w:val="8"/>
                <w:color w:val="auto"/>
              </w:rPr>
            </w:pPr>
          </w:p>
        </w:tc>
        <w:tc>
          <w:tcPr>
            <w:tcW w:w="9460" w:type="dxa"/>
            <w:vAlign w:val="bottom"/>
            <w:tcBorders>
              <w:bottom w:val="single" w:sz="8" w:color="auto"/>
            </w:tcBorders>
            <w:gridSpan w:val="3"/>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946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116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61"/>
        </w:trPr>
        <w:tc>
          <w:tcPr>
            <w:tcW w:w="620" w:type="dxa"/>
            <w:vAlign w:val="bottom"/>
            <w:vMerge w:val="continue"/>
          </w:tcPr>
          <w:p>
            <w:pPr>
              <w:spacing w:after="0"/>
              <w:rPr>
                <w:sz w:val="5"/>
                <w:szCs w:val="5"/>
                <w:color w:val="auto"/>
              </w:rPr>
            </w:pPr>
          </w:p>
        </w:tc>
        <w:tc>
          <w:tcPr>
            <w:tcW w:w="2000" w:type="dxa"/>
            <w:vAlign w:val="bottom"/>
          </w:tcPr>
          <w:p>
            <w:pPr>
              <w:spacing w:after="0"/>
              <w:rPr>
                <w:sz w:val="5"/>
                <w:szCs w:val="5"/>
                <w:color w:val="auto"/>
              </w:rPr>
            </w:pPr>
          </w:p>
        </w:tc>
        <w:tc>
          <w:tcPr>
            <w:tcW w:w="900" w:type="dxa"/>
            <w:vAlign w:val="bottom"/>
          </w:tcPr>
          <w:p>
            <w:pPr>
              <w:spacing w:after="0"/>
              <w:rPr>
                <w:sz w:val="5"/>
                <w:szCs w:val="5"/>
                <w:color w:val="auto"/>
              </w:rPr>
            </w:pPr>
          </w:p>
        </w:tc>
        <w:tc>
          <w:tcPr>
            <w:tcW w:w="65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620" w:type="dxa"/>
            <w:vAlign w:val="bottom"/>
            <w:tcBorders>
              <w:bottom w:val="single" w:sz="8" w:color="auto"/>
            </w:tcBorders>
          </w:tcPr>
          <w:p>
            <w:pPr>
              <w:spacing w:after="0"/>
              <w:rPr>
                <w:sz w:val="19"/>
                <w:szCs w:val="19"/>
                <w:color w:val="auto"/>
              </w:rPr>
            </w:pPr>
          </w:p>
        </w:tc>
        <w:tc>
          <w:tcPr>
            <w:tcW w:w="9460" w:type="dxa"/>
            <w:vAlign w:val="bottom"/>
            <w:tcBorders>
              <w:bottom w:val="single" w:sz="8" w:color="auto"/>
            </w:tcBorders>
            <w:gridSpan w:val="3"/>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46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20" w:type="dxa"/>
            <w:vAlign w:val="bottom"/>
            <w:vMerge w:val="continue"/>
          </w:tcPr>
          <w:p>
            <w:pPr>
              <w:spacing w:after="0"/>
              <w:rPr>
                <w:sz w:val="16"/>
                <w:szCs w:val="16"/>
                <w:color w:val="auto"/>
              </w:rPr>
            </w:pPr>
          </w:p>
        </w:tc>
        <w:tc>
          <w:tcPr>
            <w:tcW w:w="2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20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Delaware</w:t>
            </w:r>
          </w:p>
        </w:tc>
        <w:tc>
          <w:tcPr>
            <w:tcW w:w="900" w:type="dxa"/>
            <w:vAlign w:val="bottom"/>
          </w:tcPr>
          <w:p>
            <w:pPr>
              <w:spacing w:after="0"/>
              <w:rPr>
                <w:sz w:val="21"/>
                <w:szCs w:val="21"/>
                <w:color w:val="auto"/>
              </w:rPr>
            </w:pPr>
          </w:p>
        </w:tc>
        <w:tc>
          <w:tcPr>
            <w:tcW w:w="65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4"/>
        </w:trPr>
        <w:tc>
          <w:tcPr>
            <w:tcW w:w="62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5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620" w:type="dxa"/>
            <w:vAlign w:val="bottom"/>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6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620" w:type="dxa"/>
            <w:vAlign w:val="bottom"/>
          </w:tcPr>
          <w:p>
            <w:pPr>
              <w:spacing w:after="0"/>
              <w:rPr>
                <w:sz w:val="10"/>
                <w:szCs w:val="10"/>
                <w:color w:val="auto"/>
              </w:rPr>
            </w:pPr>
          </w:p>
        </w:tc>
        <w:tc>
          <w:tcPr>
            <w:tcW w:w="2000" w:type="dxa"/>
            <w:vAlign w:val="bottom"/>
            <w:tcBorders>
              <w:right w:val="single" w:sz="8" w:color="auto"/>
            </w:tcBorders>
            <w:vMerge w:val="restart"/>
          </w:tcPr>
          <w:p>
            <w:pPr>
              <w:jc w:val="center"/>
              <w:ind w:right="530"/>
              <w:spacing w:after="0"/>
              <w:rPr>
                <w:sz w:val="20"/>
                <w:szCs w:val="20"/>
                <w:color w:val="auto"/>
              </w:rPr>
            </w:pPr>
            <w:r>
              <w:rPr>
                <w:rFonts w:ascii="Times New Roman" w:cs="Times New Roman" w:eastAsia="Times New Roman" w:hAnsi="Times New Roman"/>
                <w:sz w:val="18"/>
                <w:szCs w:val="18"/>
                <w:color w:val="auto"/>
              </w:rPr>
              <w:t>NUMBER OF</w:t>
            </w:r>
          </w:p>
        </w:tc>
        <w:tc>
          <w:tcPr>
            <w:tcW w:w="900" w:type="dxa"/>
            <w:vAlign w:val="bottom"/>
            <w:tcBorders>
              <w:right w:val="single" w:sz="8" w:color="auto"/>
            </w:tcBorders>
            <w:vMerge w:val="continue"/>
          </w:tcPr>
          <w:p>
            <w:pPr>
              <w:spacing w:after="0"/>
              <w:rPr>
                <w:sz w:val="10"/>
                <w:szCs w:val="10"/>
                <w:color w:val="auto"/>
              </w:rPr>
            </w:pPr>
          </w:p>
        </w:tc>
        <w:tc>
          <w:tcPr>
            <w:tcW w:w="65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6,778,550</w:t>
            </w: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20" w:type="dxa"/>
            <w:vAlign w:val="bottom"/>
          </w:tcPr>
          <w:p>
            <w:pPr>
              <w:spacing w:after="0"/>
              <w:rPr>
                <w:sz w:val="9"/>
                <w:szCs w:val="9"/>
                <w:color w:val="auto"/>
              </w:rPr>
            </w:pPr>
          </w:p>
        </w:tc>
        <w:tc>
          <w:tcPr>
            <w:tcW w:w="200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656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620" w:type="dxa"/>
            <w:vAlign w:val="bottom"/>
          </w:tcPr>
          <w:p>
            <w:pPr>
              <w:spacing w:after="0"/>
              <w:rPr>
                <w:sz w:val="5"/>
                <w:szCs w:val="5"/>
                <w:color w:val="auto"/>
              </w:rPr>
            </w:pPr>
          </w:p>
        </w:tc>
        <w:tc>
          <w:tcPr>
            <w:tcW w:w="2000" w:type="dxa"/>
            <w:vAlign w:val="bottom"/>
            <w:tcBorders>
              <w:right w:val="single" w:sz="8" w:color="auto"/>
            </w:tcBorders>
            <w:vMerge w:val="continue"/>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65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
        </w:trPr>
        <w:tc>
          <w:tcPr>
            <w:tcW w:w="620" w:type="dxa"/>
            <w:vAlign w:val="bottom"/>
          </w:tcPr>
          <w:p>
            <w:pPr>
              <w:spacing w:after="0"/>
              <w:rPr>
                <w:sz w:val="2"/>
                <w:szCs w:val="2"/>
                <w:color w:val="auto"/>
              </w:rPr>
            </w:pPr>
          </w:p>
        </w:tc>
        <w:tc>
          <w:tcPr>
            <w:tcW w:w="2000" w:type="dxa"/>
            <w:vAlign w:val="bottom"/>
            <w:tcBorders>
              <w:right w:val="single" w:sz="8" w:color="auto"/>
            </w:tcBorders>
            <w:vMerge w:val="restart"/>
          </w:tcPr>
          <w:p>
            <w:pPr>
              <w:jc w:val="center"/>
              <w:ind w:right="530"/>
              <w:spacing w:after="0"/>
              <w:rPr>
                <w:sz w:val="20"/>
                <w:szCs w:val="20"/>
                <w:color w:val="auto"/>
              </w:rPr>
            </w:pPr>
            <w:r>
              <w:rPr>
                <w:rFonts w:ascii="Times New Roman" w:cs="Times New Roman" w:eastAsia="Times New Roman" w:hAnsi="Times New Roman"/>
                <w:sz w:val="18"/>
                <w:szCs w:val="18"/>
                <w:color w:val="auto"/>
              </w:rPr>
              <w:t>SHARES</w:t>
            </w:r>
          </w:p>
        </w:tc>
        <w:tc>
          <w:tcPr>
            <w:tcW w:w="900" w:type="dxa"/>
            <w:vAlign w:val="bottom"/>
            <w:tcBorders>
              <w:bottom w:val="single" w:sz="8" w:color="auto"/>
              <w:right w:val="single" w:sz="8" w:color="auto"/>
            </w:tcBorders>
          </w:tcPr>
          <w:p>
            <w:pPr>
              <w:spacing w:after="0"/>
              <w:rPr>
                <w:sz w:val="2"/>
                <w:szCs w:val="2"/>
                <w:color w:val="auto"/>
              </w:rPr>
            </w:pPr>
          </w:p>
        </w:tc>
        <w:tc>
          <w:tcPr>
            <w:tcW w:w="6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620" w:type="dxa"/>
            <w:vAlign w:val="bottom"/>
          </w:tcPr>
          <w:p>
            <w:pPr>
              <w:spacing w:after="0"/>
              <w:rPr>
                <w:sz w:val="14"/>
                <w:szCs w:val="14"/>
                <w:color w:val="auto"/>
              </w:rPr>
            </w:pPr>
          </w:p>
        </w:tc>
        <w:tc>
          <w:tcPr>
            <w:tcW w:w="2000" w:type="dxa"/>
            <w:vAlign w:val="bottom"/>
            <w:tcBorders>
              <w:right w:val="single" w:sz="8" w:color="auto"/>
            </w:tcBorders>
            <w:vMerge w:val="continue"/>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65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620" w:type="dxa"/>
            <w:vAlign w:val="bottom"/>
          </w:tcPr>
          <w:p>
            <w:pPr>
              <w:spacing w:after="0"/>
              <w:rPr>
                <w:sz w:val="10"/>
                <w:szCs w:val="10"/>
                <w:color w:val="auto"/>
              </w:rPr>
            </w:pPr>
          </w:p>
        </w:tc>
        <w:tc>
          <w:tcPr>
            <w:tcW w:w="2000" w:type="dxa"/>
            <w:vAlign w:val="bottom"/>
            <w:tcBorders>
              <w:right w:val="single" w:sz="8" w:color="auto"/>
            </w:tcBorders>
            <w:vMerge w:val="restart"/>
          </w:tcPr>
          <w:p>
            <w:pPr>
              <w:jc w:val="center"/>
              <w:ind w:right="530"/>
              <w:spacing w:after="0"/>
              <w:rPr>
                <w:sz w:val="20"/>
                <w:szCs w:val="20"/>
                <w:color w:val="auto"/>
              </w:rPr>
            </w:pPr>
            <w:r>
              <w:rPr>
                <w:rFonts w:ascii="Times New Roman" w:cs="Times New Roman" w:eastAsia="Times New Roman" w:hAnsi="Times New Roman"/>
                <w:sz w:val="18"/>
                <w:szCs w:val="18"/>
                <w:color w:val="auto"/>
                <w:w w:val="97"/>
              </w:rPr>
              <w:t>BENEFICIALLY</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656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620" w:type="dxa"/>
            <w:vAlign w:val="bottom"/>
          </w:tcPr>
          <w:p>
            <w:pPr>
              <w:spacing w:after="0"/>
              <w:rPr>
                <w:sz w:val="8"/>
                <w:szCs w:val="8"/>
                <w:color w:val="auto"/>
              </w:rPr>
            </w:pPr>
          </w:p>
        </w:tc>
        <w:tc>
          <w:tcPr>
            <w:tcW w:w="2000" w:type="dxa"/>
            <w:vAlign w:val="bottom"/>
            <w:tcBorders>
              <w:right w:val="single" w:sz="8" w:color="auto"/>
            </w:tcBorders>
            <w:vMerge w:val="continue"/>
          </w:tcPr>
          <w:p>
            <w:pPr>
              <w:spacing w:after="0"/>
              <w:rPr>
                <w:sz w:val="8"/>
                <w:szCs w:val="8"/>
                <w:color w:val="auto"/>
              </w:rPr>
            </w:pPr>
          </w:p>
        </w:tc>
        <w:tc>
          <w:tcPr>
            <w:tcW w:w="900" w:type="dxa"/>
            <w:vAlign w:val="bottom"/>
            <w:tcBorders>
              <w:right w:val="single" w:sz="8" w:color="auto"/>
            </w:tcBorders>
            <w:vMerge w:val="continue"/>
          </w:tcPr>
          <w:p>
            <w:pPr>
              <w:spacing w:after="0"/>
              <w:rPr>
                <w:sz w:val="8"/>
                <w:szCs w:val="8"/>
                <w:color w:val="auto"/>
              </w:rPr>
            </w:pPr>
          </w:p>
        </w:tc>
        <w:tc>
          <w:tcPr>
            <w:tcW w:w="65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620" w:type="dxa"/>
            <w:vAlign w:val="bottom"/>
          </w:tcPr>
          <w:p>
            <w:pPr>
              <w:spacing w:after="0"/>
              <w:rPr>
                <w:sz w:val="12"/>
                <w:szCs w:val="12"/>
                <w:color w:val="auto"/>
              </w:rPr>
            </w:pPr>
          </w:p>
        </w:tc>
        <w:tc>
          <w:tcPr>
            <w:tcW w:w="2000" w:type="dxa"/>
            <w:vAlign w:val="bottom"/>
            <w:tcBorders>
              <w:right w:val="single" w:sz="8" w:color="auto"/>
            </w:tcBorders>
            <w:vMerge w:val="restart"/>
          </w:tcPr>
          <w:p>
            <w:pPr>
              <w:jc w:val="center"/>
              <w:ind w:right="530"/>
              <w:spacing w:after="0"/>
              <w:rPr>
                <w:sz w:val="20"/>
                <w:szCs w:val="20"/>
                <w:color w:val="auto"/>
              </w:rPr>
            </w:pPr>
            <w:r>
              <w:rPr>
                <w:rFonts w:ascii="Times New Roman" w:cs="Times New Roman" w:eastAsia="Times New Roman" w:hAnsi="Times New Roman"/>
                <w:sz w:val="18"/>
                <w:szCs w:val="18"/>
                <w:color w:val="auto"/>
              </w:rPr>
              <w:t>OWNED BY</w:t>
            </w:r>
          </w:p>
        </w:tc>
        <w:tc>
          <w:tcPr>
            <w:tcW w:w="900" w:type="dxa"/>
            <w:vAlign w:val="bottom"/>
            <w:tcBorders>
              <w:right w:val="single" w:sz="8" w:color="auto"/>
            </w:tcBorders>
          </w:tcPr>
          <w:p>
            <w:pPr>
              <w:spacing w:after="0"/>
              <w:rPr>
                <w:sz w:val="12"/>
                <w:szCs w:val="12"/>
                <w:color w:val="auto"/>
              </w:rPr>
            </w:pPr>
          </w:p>
        </w:tc>
        <w:tc>
          <w:tcPr>
            <w:tcW w:w="6560" w:type="dxa"/>
            <w:vAlign w:val="bottom"/>
            <w:vMerge w:val="continue"/>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620" w:type="dxa"/>
            <w:vAlign w:val="bottom"/>
          </w:tcPr>
          <w:p>
            <w:pPr>
              <w:spacing w:after="0"/>
              <w:rPr>
                <w:sz w:val="8"/>
                <w:szCs w:val="8"/>
                <w:color w:val="auto"/>
              </w:rPr>
            </w:pPr>
          </w:p>
        </w:tc>
        <w:tc>
          <w:tcPr>
            <w:tcW w:w="2000" w:type="dxa"/>
            <w:vAlign w:val="bottom"/>
            <w:tcBorders>
              <w:right w:val="single" w:sz="8" w:color="auto"/>
            </w:tcBorders>
            <w:vMerge w:val="continue"/>
          </w:tcPr>
          <w:p>
            <w:pPr>
              <w:spacing w:after="0"/>
              <w:rPr>
                <w:sz w:val="8"/>
                <w:szCs w:val="8"/>
                <w:color w:val="auto"/>
              </w:rPr>
            </w:pPr>
          </w:p>
        </w:tc>
        <w:tc>
          <w:tcPr>
            <w:tcW w:w="900" w:type="dxa"/>
            <w:vAlign w:val="bottom"/>
            <w:tcBorders>
              <w:bottom w:val="single" w:sz="8" w:color="auto"/>
              <w:right w:val="single" w:sz="8" w:color="auto"/>
            </w:tcBorders>
          </w:tcPr>
          <w:p>
            <w:pPr>
              <w:spacing w:after="0"/>
              <w:rPr>
                <w:sz w:val="8"/>
                <w:szCs w:val="8"/>
                <w:color w:val="auto"/>
              </w:rPr>
            </w:pPr>
          </w:p>
        </w:tc>
        <w:tc>
          <w:tcPr>
            <w:tcW w:w="65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620" w:type="dxa"/>
            <w:vAlign w:val="bottom"/>
          </w:tcPr>
          <w:p>
            <w:pPr>
              <w:spacing w:after="0"/>
              <w:rPr>
                <w:sz w:val="15"/>
                <w:szCs w:val="15"/>
                <w:color w:val="auto"/>
              </w:rPr>
            </w:pPr>
          </w:p>
        </w:tc>
        <w:tc>
          <w:tcPr>
            <w:tcW w:w="2000" w:type="dxa"/>
            <w:vAlign w:val="bottom"/>
            <w:tcBorders>
              <w:right w:val="single" w:sz="8" w:color="auto"/>
            </w:tcBorders>
          </w:tcPr>
          <w:p>
            <w:pPr>
              <w:jc w:val="center"/>
              <w:ind w:right="53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900" w:type="dxa"/>
            <w:vAlign w:val="bottom"/>
            <w:tcBorders>
              <w:right w:val="single" w:sz="8" w:color="auto"/>
            </w:tcBorders>
          </w:tcPr>
          <w:p>
            <w:pPr>
              <w:spacing w:after="0"/>
              <w:rPr>
                <w:sz w:val="15"/>
                <w:szCs w:val="15"/>
                <w:color w:val="auto"/>
              </w:rPr>
            </w:pPr>
          </w:p>
        </w:tc>
        <w:tc>
          <w:tcPr>
            <w:tcW w:w="65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620" w:type="dxa"/>
            <w:vAlign w:val="bottom"/>
          </w:tcPr>
          <w:p>
            <w:pPr>
              <w:spacing w:after="0"/>
              <w:rPr>
                <w:sz w:val="9"/>
                <w:szCs w:val="9"/>
                <w:color w:val="auto"/>
              </w:rPr>
            </w:pPr>
          </w:p>
        </w:tc>
        <w:tc>
          <w:tcPr>
            <w:tcW w:w="2000" w:type="dxa"/>
            <w:vAlign w:val="bottom"/>
            <w:tcBorders>
              <w:right w:val="single" w:sz="8" w:color="auto"/>
            </w:tcBorders>
            <w:vMerge w:val="restart"/>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656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20" w:type="dxa"/>
            <w:vAlign w:val="bottom"/>
          </w:tcPr>
          <w:p>
            <w:pPr>
              <w:spacing w:after="0"/>
              <w:rPr>
                <w:sz w:val="9"/>
                <w:szCs w:val="9"/>
                <w:color w:val="auto"/>
              </w:rPr>
            </w:pPr>
          </w:p>
        </w:tc>
        <w:tc>
          <w:tcPr>
            <w:tcW w:w="200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65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6,778,550</w:t>
            </w: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620" w:type="dxa"/>
            <w:vAlign w:val="bottom"/>
          </w:tcPr>
          <w:p>
            <w:pPr>
              <w:spacing w:after="0"/>
              <w:rPr>
                <w:sz w:val="10"/>
                <w:szCs w:val="10"/>
                <w:color w:val="auto"/>
              </w:rPr>
            </w:pPr>
          </w:p>
        </w:tc>
        <w:tc>
          <w:tcPr>
            <w:tcW w:w="2000" w:type="dxa"/>
            <w:vAlign w:val="bottom"/>
            <w:tcBorders>
              <w:right w:val="single" w:sz="8" w:color="auto"/>
            </w:tcBorders>
            <w:vMerge w:val="restart"/>
          </w:tcPr>
          <w:p>
            <w:pPr>
              <w:jc w:val="center"/>
              <w:ind w:right="530"/>
              <w:spacing w:after="0"/>
              <w:rPr>
                <w:sz w:val="20"/>
                <w:szCs w:val="20"/>
                <w:color w:val="auto"/>
              </w:rPr>
            </w:pPr>
            <w:r>
              <w:rPr>
                <w:rFonts w:ascii="Times New Roman" w:cs="Times New Roman" w:eastAsia="Times New Roman" w:hAnsi="Times New Roman"/>
                <w:sz w:val="18"/>
                <w:szCs w:val="18"/>
                <w:color w:val="auto"/>
              </w:rPr>
              <w:t>PERSON</w:t>
            </w:r>
          </w:p>
        </w:tc>
        <w:tc>
          <w:tcPr>
            <w:tcW w:w="900" w:type="dxa"/>
            <w:vAlign w:val="bottom"/>
            <w:tcBorders>
              <w:right w:val="single" w:sz="8" w:color="auto"/>
            </w:tcBorders>
          </w:tcPr>
          <w:p>
            <w:pPr>
              <w:spacing w:after="0"/>
              <w:rPr>
                <w:sz w:val="10"/>
                <w:szCs w:val="10"/>
                <w:color w:val="auto"/>
              </w:rPr>
            </w:pPr>
          </w:p>
        </w:tc>
        <w:tc>
          <w:tcPr>
            <w:tcW w:w="656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620" w:type="dxa"/>
            <w:vAlign w:val="bottom"/>
          </w:tcPr>
          <w:p>
            <w:pPr>
              <w:spacing w:after="0"/>
              <w:rPr>
                <w:sz w:val="8"/>
                <w:szCs w:val="8"/>
                <w:color w:val="auto"/>
              </w:rPr>
            </w:pPr>
          </w:p>
        </w:tc>
        <w:tc>
          <w:tcPr>
            <w:tcW w:w="2000" w:type="dxa"/>
            <w:vAlign w:val="bottom"/>
            <w:tcBorders>
              <w:right w:val="single" w:sz="8" w:color="auto"/>
            </w:tcBorders>
            <w:vMerge w:val="continue"/>
          </w:tcPr>
          <w:p>
            <w:pPr>
              <w:spacing w:after="0"/>
              <w:rPr>
                <w:sz w:val="8"/>
                <w:szCs w:val="8"/>
                <w:color w:val="auto"/>
              </w:rPr>
            </w:pPr>
          </w:p>
        </w:tc>
        <w:tc>
          <w:tcPr>
            <w:tcW w:w="900" w:type="dxa"/>
            <w:vAlign w:val="bottom"/>
            <w:tcBorders>
              <w:bottom w:val="single" w:sz="8" w:color="auto"/>
              <w:right w:val="single" w:sz="8" w:color="auto"/>
            </w:tcBorders>
          </w:tcPr>
          <w:p>
            <w:pPr>
              <w:spacing w:after="0"/>
              <w:rPr>
                <w:sz w:val="8"/>
                <w:szCs w:val="8"/>
                <w:color w:val="auto"/>
              </w:rPr>
            </w:pPr>
          </w:p>
        </w:tc>
        <w:tc>
          <w:tcPr>
            <w:tcW w:w="65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620" w:type="dxa"/>
            <w:vAlign w:val="bottom"/>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620" w:type="dxa"/>
            <w:vAlign w:val="bottom"/>
          </w:tcPr>
          <w:p>
            <w:pPr>
              <w:spacing w:after="0"/>
              <w:rPr>
                <w:sz w:val="10"/>
                <w:szCs w:val="10"/>
                <w:color w:val="auto"/>
              </w:rPr>
            </w:pPr>
          </w:p>
        </w:tc>
        <w:tc>
          <w:tcPr>
            <w:tcW w:w="20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vMerge w:val="continue"/>
          </w:tcPr>
          <w:p>
            <w:pPr>
              <w:spacing w:after="0"/>
              <w:rPr>
                <w:sz w:val="10"/>
                <w:szCs w:val="10"/>
                <w:color w:val="auto"/>
              </w:rPr>
            </w:pPr>
          </w:p>
        </w:tc>
        <w:tc>
          <w:tcPr>
            <w:tcW w:w="65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20" w:type="dxa"/>
            <w:vAlign w:val="bottom"/>
          </w:tcPr>
          <w:p>
            <w:pPr>
              <w:spacing w:after="0"/>
              <w:rPr>
                <w:sz w:val="9"/>
                <w:szCs w:val="9"/>
                <w:color w:val="auto"/>
              </w:rPr>
            </w:pPr>
          </w:p>
        </w:tc>
        <w:tc>
          <w:tcPr>
            <w:tcW w:w="200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656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620" w:type="dxa"/>
            <w:vAlign w:val="bottom"/>
            <w:tcBorders>
              <w:bottom w:val="single" w:sz="8" w:color="auto"/>
            </w:tcBorders>
          </w:tcPr>
          <w:p>
            <w:pPr>
              <w:spacing w:after="0"/>
              <w:rPr>
                <w:sz w:val="8"/>
                <w:szCs w:val="8"/>
                <w:color w:val="auto"/>
              </w:rPr>
            </w:pPr>
          </w:p>
        </w:tc>
        <w:tc>
          <w:tcPr>
            <w:tcW w:w="2000" w:type="dxa"/>
            <w:vAlign w:val="bottom"/>
            <w:tcBorders>
              <w:bottom w:val="single" w:sz="8" w:color="auto"/>
              <w:right w:val="single" w:sz="8" w:color="auto"/>
            </w:tcBorders>
          </w:tcPr>
          <w:p>
            <w:pPr>
              <w:spacing w:after="0"/>
              <w:rPr>
                <w:sz w:val="8"/>
                <w:szCs w:val="8"/>
                <w:color w:val="auto"/>
              </w:rPr>
            </w:pPr>
          </w:p>
        </w:tc>
        <w:tc>
          <w:tcPr>
            <w:tcW w:w="900" w:type="dxa"/>
            <w:vAlign w:val="bottom"/>
            <w:tcBorders>
              <w:bottom w:val="single" w:sz="8" w:color="auto"/>
              <w:right w:val="single" w:sz="8" w:color="auto"/>
            </w:tcBorders>
          </w:tcPr>
          <w:p>
            <w:pPr>
              <w:spacing w:after="0"/>
              <w:rPr>
                <w:sz w:val="8"/>
                <w:szCs w:val="8"/>
                <w:color w:val="auto"/>
              </w:rPr>
            </w:pPr>
          </w:p>
        </w:tc>
        <w:tc>
          <w:tcPr>
            <w:tcW w:w="65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w:t>
      </w:r>
    </w:p>
    <w:p>
      <w:pPr>
        <w:spacing w:after="0" w:line="1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6,778,550</w:t>
      </w:r>
    </w:p>
    <w:p>
      <w:pPr>
        <w:spacing w:after="0" w:line="183" w:lineRule="exact"/>
        <w:rPr>
          <w:sz w:val="20"/>
          <w:szCs w:val="20"/>
          <w:color w:val="auto"/>
        </w:rPr>
      </w:pPr>
    </w:p>
    <w:tbl>
      <w:tblPr>
        <w:tblLayout w:type="fixed"/>
        <w:tblInd w:w="440" w:type="dxa"/>
        <w:tblCellMar>
          <w:top w:w="0" w:type="dxa"/>
          <w:left w:w="0" w:type="dxa"/>
          <w:bottom w:w="0" w:type="dxa"/>
          <w:right w:w="0" w:type="dxa"/>
        </w:tblCellMar>
      </w:tblPr>
      <w:tr>
        <w:trPr>
          <w:trHeight w:val="283"/>
        </w:trPr>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12</w:t>
            </w:r>
          </w:p>
        </w:tc>
        <w:tc>
          <w:tcPr>
            <w:tcW w:w="9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 (See Instructions)</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5" w:lineRule="exact"/>
        <w:rPr>
          <w:sz w:val="20"/>
          <w:szCs w:val="20"/>
          <w:color w:val="auto"/>
        </w:rPr>
      </w:pPr>
    </w:p>
    <w:p>
      <w:pPr>
        <w:ind w:left="1140" w:right="4960" w:hanging="709"/>
        <w:spacing w:after="0" w:line="184" w:lineRule="auto"/>
        <w:tabs>
          <w:tab w:leader="none" w:pos="1140" w:val="left"/>
        </w:tabs>
        <w:numPr>
          <w:ilvl w:val="0"/>
          <w:numId w:val="9"/>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PERCENT OF CLASS REPRESENTED BY AMOUNT IN ROW (11) 27.20%</w:t>
      </w:r>
    </w:p>
    <w:p>
      <w:pPr>
        <w:spacing w:after="0" w:line="18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TYPE OF REPORTING PERSON (See Instructions)</w:t>
      </w: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14</w:t>
      </w:r>
    </w:p>
    <w:p>
      <w:pPr>
        <w:spacing w:after="0" w:line="1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 w:name="page4"/>
    <w:bookmarkEnd w:id="3"/>
    <w:p>
      <w:pPr>
        <w:ind w:left="11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6772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6772275"/>
                    </a:xfrm>
                    <a:prstGeom prst="rect">
                      <a:avLst/>
                    </a:prstGeom>
                    <a:noFill/>
                  </pic:spPr>
                </pic:pic>
              </a:graphicData>
            </a:graphic>
          </wp:anchor>
        </w:drawing>
        <w:t>NAME OF REPORTING PERSONS</w:t>
      </w:r>
    </w:p>
    <w:p>
      <w:pPr>
        <w:spacing w:after="0" w:line="27" w:lineRule="exact"/>
        <w:rPr>
          <w:sz w:val="20"/>
          <w:szCs w:val="20"/>
          <w:color w:val="auto"/>
        </w:rPr>
      </w:pPr>
    </w:p>
    <w:p>
      <w:pPr>
        <w:ind w:left="1140" w:right="4520" w:hanging="664"/>
        <w:spacing w:after="0" w:line="271" w:lineRule="auto"/>
        <w:tabs>
          <w:tab w:leader="none" w:pos="1140" w:val="left"/>
        </w:tabs>
        <w:numPr>
          <w:ilvl w:val="0"/>
          <w:numId w:val="10"/>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I.R.S. IDENTIFICATION NOS. OF ABOVE PERSONS (ENTITIES ONLY) South Lake Management LLC</w:t>
      </w:r>
    </w:p>
    <w:p>
      <w:pPr>
        <w:spacing w:after="0" w:line="131" w:lineRule="exact"/>
        <w:rPr>
          <w:rFonts w:ascii="Times New Roman" w:cs="Times New Roman" w:eastAsia="Times New Roman" w:hAnsi="Times New Roman"/>
          <w:sz w:val="36"/>
          <w:szCs w:val="36"/>
          <w:color w:val="auto"/>
          <w:vertAlign w:val="subscript"/>
        </w:rPr>
      </w:pPr>
    </w:p>
    <w:p>
      <w:pPr>
        <w:ind w:left="1140"/>
        <w:spacing w:after="0"/>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CHECK THE APPROPRIATE BOX IF A MEMBER OF A GROUP (See Instructions)</w:t>
      </w:r>
    </w:p>
    <w:p>
      <w:pPr>
        <w:spacing w:after="0" w:line="196" w:lineRule="exact"/>
        <w:rPr>
          <w:sz w:val="20"/>
          <w:szCs w:val="20"/>
          <w:color w:val="auto"/>
        </w:rPr>
      </w:pPr>
    </w:p>
    <w:p>
      <w:pPr>
        <w:ind w:left="1140" w:hanging="664"/>
        <w:spacing w:after="0" w:line="207" w:lineRule="exact"/>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p>
      <w:pPr>
        <w:spacing w:after="0" w:line="57" w:lineRule="exact"/>
        <w:rPr>
          <w:rFonts w:ascii="Times New Roman" w:cs="Times New Roman" w:eastAsia="Times New Roman" w:hAnsi="Times New Roman"/>
          <w:sz w:val="18"/>
          <w:szCs w:val="18"/>
          <w:color w:val="auto"/>
        </w:rPr>
      </w:pPr>
    </w:p>
    <w:p>
      <w:pPr>
        <w:ind w:left="114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28" w:lineRule="exact"/>
        <w:rPr>
          <w:sz w:val="20"/>
          <w:szCs w:val="20"/>
          <w:color w:val="auto"/>
        </w:rPr>
      </w:pPr>
    </w:p>
    <w:p>
      <w:pPr>
        <w:ind w:left="1140" w:hanging="664"/>
        <w:spacing w:after="0"/>
        <w:tabs>
          <w:tab w:leader="none" w:pos="1140" w:val="left"/>
        </w:tabs>
        <w:numPr>
          <w:ilvl w:val="0"/>
          <w:numId w:val="12"/>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SEC USE ONLY</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946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620" w:type="dxa"/>
            <w:vAlign w:val="bottom"/>
            <w:vMerge w:val="continue"/>
          </w:tcPr>
          <w:p>
            <w:pPr>
              <w:spacing w:after="0"/>
              <w:rPr>
                <w:sz w:val="16"/>
                <w:szCs w:val="16"/>
                <w:color w:val="auto"/>
              </w:rPr>
            </w:pPr>
          </w:p>
        </w:tc>
        <w:tc>
          <w:tcPr>
            <w:tcW w:w="2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20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OO</w:t>
            </w:r>
          </w:p>
        </w:tc>
        <w:tc>
          <w:tcPr>
            <w:tcW w:w="900" w:type="dxa"/>
            <w:vAlign w:val="bottom"/>
          </w:tcPr>
          <w:p>
            <w:pPr>
              <w:spacing w:after="0"/>
              <w:rPr>
                <w:sz w:val="21"/>
                <w:szCs w:val="21"/>
                <w:color w:val="auto"/>
              </w:rPr>
            </w:pPr>
          </w:p>
        </w:tc>
        <w:tc>
          <w:tcPr>
            <w:tcW w:w="65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4"/>
        </w:trPr>
        <w:tc>
          <w:tcPr>
            <w:tcW w:w="620" w:type="dxa"/>
            <w:vAlign w:val="bottom"/>
            <w:tcBorders>
              <w:bottom w:val="single" w:sz="8" w:color="auto"/>
            </w:tcBorders>
          </w:tcPr>
          <w:p>
            <w:pPr>
              <w:spacing w:after="0"/>
              <w:rPr>
                <w:sz w:val="8"/>
                <w:szCs w:val="8"/>
                <w:color w:val="auto"/>
              </w:rPr>
            </w:pPr>
          </w:p>
        </w:tc>
        <w:tc>
          <w:tcPr>
            <w:tcW w:w="9460" w:type="dxa"/>
            <w:vAlign w:val="bottom"/>
            <w:tcBorders>
              <w:bottom w:val="single" w:sz="8" w:color="auto"/>
            </w:tcBorders>
            <w:gridSpan w:val="3"/>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946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116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61"/>
        </w:trPr>
        <w:tc>
          <w:tcPr>
            <w:tcW w:w="620" w:type="dxa"/>
            <w:vAlign w:val="bottom"/>
            <w:vMerge w:val="continue"/>
          </w:tcPr>
          <w:p>
            <w:pPr>
              <w:spacing w:after="0"/>
              <w:rPr>
                <w:sz w:val="5"/>
                <w:szCs w:val="5"/>
                <w:color w:val="auto"/>
              </w:rPr>
            </w:pPr>
          </w:p>
        </w:tc>
        <w:tc>
          <w:tcPr>
            <w:tcW w:w="2000" w:type="dxa"/>
            <w:vAlign w:val="bottom"/>
          </w:tcPr>
          <w:p>
            <w:pPr>
              <w:spacing w:after="0"/>
              <w:rPr>
                <w:sz w:val="5"/>
                <w:szCs w:val="5"/>
                <w:color w:val="auto"/>
              </w:rPr>
            </w:pPr>
          </w:p>
        </w:tc>
        <w:tc>
          <w:tcPr>
            <w:tcW w:w="900" w:type="dxa"/>
            <w:vAlign w:val="bottom"/>
          </w:tcPr>
          <w:p>
            <w:pPr>
              <w:spacing w:after="0"/>
              <w:rPr>
                <w:sz w:val="5"/>
                <w:szCs w:val="5"/>
                <w:color w:val="auto"/>
              </w:rPr>
            </w:pPr>
          </w:p>
        </w:tc>
        <w:tc>
          <w:tcPr>
            <w:tcW w:w="65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620" w:type="dxa"/>
            <w:vAlign w:val="bottom"/>
            <w:tcBorders>
              <w:bottom w:val="single" w:sz="8" w:color="auto"/>
            </w:tcBorders>
          </w:tcPr>
          <w:p>
            <w:pPr>
              <w:spacing w:after="0"/>
              <w:rPr>
                <w:sz w:val="19"/>
                <w:szCs w:val="19"/>
                <w:color w:val="auto"/>
              </w:rPr>
            </w:pPr>
          </w:p>
        </w:tc>
        <w:tc>
          <w:tcPr>
            <w:tcW w:w="9460" w:type="dxa"/>
            <w:vAlign w:val="bottom"/>
            <w:tcBorders>
              <w:bottom w:val="single" w:sz="8" w:color="auto"/>
            </w:tcBorders>
            <w:gridSpan w:val="3"/>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46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20" w:type="dxa"/>
            <w:vAlign w:val="bottom"/>
            <w:vMerge w:val="continue"/>
          </w:tcPr>
          <w:p>
            <w:pPr>
              <w:spacing w:after="0"/>
              <w:rPr>
                <w:sz w:val="16"/>
                <w:szCs w:val="16"/>
                <w:color w:val="auto"/>
              </w:rPr>
            </w:pPr>
          </w:p>
        </w:tc>
        <w:tc>
          <w:tcPr>
            <w:tcW w:w="2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20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Delaware</w:t>
            </w:r>
          </w:p>
        </w:tc>
        <w:tc>
          <w:tcPr>
            <w:tcW w:w="900" w:type="dxa"/>
            <w:vAlign w:val="bottom"/>
          </w:tcPr>
          <w:p>
            <w:pPr>
              <w:spacing w:after="0"/>
              <w:rPr>
                <w:sz w:val="21"/>
                <w:szCs w:val="21"/>
                <w:color w:val="auto"/>
              </w:rPr>
            </w:pPr>
          </w:p>
        </w:tc>
        <w:tc>
          <w:tcPr>
            <w:tcW w:w="65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4"/>
        </w:trPr>
        <w:tc>
          <w:tcPr>
            <w:tcW w:w="62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5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620" w:type="dxa"/>
            <w:vAlign w:val="bottom"/>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6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620" w:type="dxa"/>
            <w:vAlign w:val="bottom"/>
          </w:tcPr>
          <w:p>
            <w:pPr>
              <w:spacing w:after="0"/>
              <w:rPr>
                <w:sz w:val="10"/>
                <w:szCs w:val="10"/>
                <w:color w:val="auto"/>
              </w:rPr>
            </w:pPr>
          </w:p>
        </w:tc>
        <w:tc>
          <w:tcPr>
            <w:tcW w:w="2000" w:type="dxa"/>
            <w:vAlign w:val="bottom"/>
            <w:tcBorders>
              <w:right w:val="single" w:sz="8" w:color="auto"/>
            </w:tcBorders>
            <w:vMerge w:val="restart"/>
          </w:tcPr>
          <w:p>
            <w:pPr>
              <w:jc w:val="center"/>
              <w:ind w:right="530"/>
              <w:spacing w:after="0"/>
              <w:rPr>
                <w:sz w:val="20"/>
                <w:szCs w:val="20"/>
                <w:color w:val="auto"/>
              </w:rPr>
            </w:pPr>
            <w:r>
              <w:rPr>
                <w:rFonts w:ascii="Times New Roman" w:cs="Times New Roman" w:eastAsia="Times New Roman" w:hAnsi="Times New Roman"/>
                <w:sz w:val="18"/>
                <w:szCs w:val="18"/>
                <w:color w:val="auto"/>
              </w:rPr>
              <w:t>NUMBER OF</w:t>
            </w:r>
          </w:p>
        </w:tc>
        <w:tc>
          <w:tcPr>
            <w:tcW w:w="900" w:type="dxa"/>
            <w:vAlign w:val="bottom"/>
            <w:tcBorders>
              <w:right w:val="single" w:sz="8" w:color="auto"/>
            </w:tcBorders>
            <w:vMerge w:val="continue"/>
          </w:tcPr>
          <w:p>
            <w:pPr>
              <w:spacing w:after="0"/>
              <w:rPr>
                <w:sz w:val="10"/>
                <w:szCs w:val="10"/>
                <w:color w:val="auto"/>
              </w:rPr>
            </w:pPr>
          </w:p>
        </w:tc>
        <w:tc>
          <w:tcPr>
            <w:tcW w:w="65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6,778,550</w:t>
            </w: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20" w:type="dxa"/>
            <w:vAlign w:val="bottom"/>
          </w:tcPr>
          <w:p>
            <w:pPr>
              <w:spacing w:after="0"/>
              <w:rPr>
                <w:sz w:val="9"/>
                <w:szCs w:val="9"/>
                <w:color w:val="auto"/>
              </w:rPr>
            </w:pPr>
          </w:p>
        </w:tc>
        <w:tc>
          <w:tcPr>
            <w:tcW w:w="200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656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620" w:type="dxa"/>
            <w:vAlign w:val="bottom"/>
          </w:tcPr>
          <w:p>
            <w:pPr>
              <w:spacing w:after="0"/>
              <w:rPr>
                <w:sz w:val="5"/>
                <w:szCs w:val="5"/>
                <w:color w:val="auto"/>
              </w:rPr>
            </w:pPr>
          </w:p>
        </w:tc>
        <w:tc>
          <w:tcPr>
            <w:tcW w:w="2000" w:type="dxa"/>
            <w:vAlign w:val="bottom"/>
            <w:tcBorders>
              <w:right w:val="single" w:sz="8" w:color="auto"/>
            </w:tcBorders>
            <w:vMerge w:val="continue"/>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65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
        </w:trPr>
        <w:tc>
          <w:tcPr>
            <w:tcW w:w="620" w:type="dxa"/>
            <w:vAlign w:val="bottom"/>
          </w:tcPr>
          <w:p>
            <w:pPr>
              <w:spacing w:after="0"/>
              <w:rPr>
                <w:sz w:val="2"/>
                <w:szCs w:val="2"/>
                <w:color w:val="auto"/>
              </w:rPr>
            </w:pPr>
          </w:p>
        </w:tc>
        <w:tc>
          <w:tcPr>
            <w:tcW w:w="2000" w:type="dxa"/>
            <w:vAlign w:val="bottom"/>
            <w:tcBorders>
              <w:right w:val="single" w:sz="8" w:color="auto"/>
            </w:tcBorders>
            <w:vMerge w:val="restart"/>
          </w:tcPr>
          <w:p>
            <w:pPr>
              <w:jc w:val="center"/>
              <w:ind w:right="530"/>
              <w:spacing w:after="0"/>
              <w:rPr>
                <w:sz w:val="20"/>
                <w:szCs w:val="20"/>
                <w:color w:val="auto"/>
              </w:rPr>
            </w:pPr>
            <w:r>
              <w:rPr>
                <w:rFonts w:ascii="Times New Roman" w:cs="Times New Roman" w:eastAsia="Times New Roman" w:hAnsi="Times New Roman"/>
                <w:sz w:val="18"/>
                <w:szCs w:val="18"/>
                <w:color w:val="auto"/>
              </w:rPr>
              <w:t>SHARES</w:t>
            </w:r>
          </w:p>
        </w:tc>
        <w:tc>
          <w:tcPr>
            <w:tcW w:w="900" w:type="dxa"/>
            <w:vAlign w:val="bottom"/>
            <w:tcBorders>
              <w:bottom w:val="single" w:sz="8" w:color="auto"/>
              <w:right w:val="single" w:sz="8" w:color="auto"/>
            </w:tcBorders>
          </w:tcPr>
          <w:p>
            <w:pPr>
              <w:spacing w:after="0"/>
              <w:rPr>
                <w:sz w:val="2"/>
                <w:szCs w:val="2"/>
                <w:color w:val="auto"/>
              </w:rPr>
            </w:pPr>
          </w:p>
        </w:tc>
        <w:tc>
          <w:tcPr>
            <w:tcW w:w="6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620" w:type="dxa"/>
            <w:vAlign w:val="bottom"/>
          </w:tcPr>
          <w:p>
            <w:pPr>
              <w:spacing w:after="0"/>
              <w:rPr>
                <w:sz w:val="14"/>
                <w:szCs w:val="14"/>
                <w:color w:val="auto"/>
              </w:rPr>
            </w:pPr>
          </w:p>
        </w:tc>
        <w:tc>
          <w:tcPr>
            <w:tcW w:w="2000" w:type="dxa"/>
            <w:vAlign w:val="bottom"/>
            <w:tcBorders>
              <w:right w:val="single" w:sz="8" w:color="auto"/>
            </w:tcBorders>
            <w:vMerge w:val="continue"/>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65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620" w:type="dxa"/>
            <w:vAlign w:val="bottom"/>
          </w:tcPr>
          <w:p>
            <w:pPr>
              <w:spacing w:after="0"/>
              <w:rPr>
                <w:sz w:val="10"/>
                <w:szCs w:val="10"/>
                <w:color w:val="auto"/>
              </w:rPr>
            </w:pPr>
          </w:p>
        </w:tc>
        <w:tc>
          <w:tcPr>
            <w:tcW w:w="2000" w:type="dxa"/>
            <w:vAlign w:val="bottom"/>
            <w:tcBorders>
              <w:right w:val="single" w:sz="8" w:color="auto"/>
            </w:tcBorders>
            <w:vMerge w:val="restart"/>
          </w:tcPr>
          <w:p>
            <w:pPr>
              <w:jc w:val="center"/>
              <w:ind w:right="530"/>
              <w:spacing w:after="0"/>
              <w:rPr>
                <w:sz w:val="20"/>
                <w:szCs w:val="20"/>
                <w:color w:val="auto"/>
              </w:rPr>
            </w:pPr>
            <w:r>
              <w:rPr>
                <w:rFonts w:ascii="Times New Roman" w:cs="Times New Roman" w:eastAsia="Times New Roman" w:hAnsi="Times New Roman"/>
                <w:sz w:val="18"/>
                <w:szCs w:val="18"/>
                <w:color w:val="auto"/>
                <w:w w:val="97"/>
              </w:rPr>
              <w:t>BENEFICIALLY</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656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620" w:type="dxa"/>
            <w:vAlign w:val="bottom"/>
          </w:tcPr>
          <w:p>
            <w:pPr>
              <w:spacing w:after="0"/>
              <w:rPr>
                <w:sz w:val="8"/>
                <w:szCs w:val="8"/>
                <w:color w:val="auto"/>
              </w:rPr>
            </w:pPr>
          </w:p>
        </w:tc>
        <w:tc>
          <w:tcPr>
            <w:tcW w:w="2000" w:type="dxa"/>
            <w:vAlign w:val="bottom"/>
            <w:tcBorders>
              <w:right w:val="single" w:sz="8" w:color="auto"/>
            </w:tcBorders>
            <w:vMerge w:val="continue"/>
          </w:tcPr>
          <w:p>
            <w:pPr>
              <w:spacing w:after="0"/>
              <w:rPr>
                <w:sz w:val="8"/>
                <w:szCs w:val="8"/>
                <w:color w:val="auto"/>
              </w:rPr>
            </w:pPr>
          </w:p>
        </w:tc>
        <w:tc>
          <w:tcPr>
            <w:tcW w:w="900" w:type="dxa"/>
            <w:vAlign w:val="bottom"/>
            <w:tcBorders>
              <w:right w:val="single" w:sz="8" w:color="auto"/>
            </w:tcBorders>
            <w:vMerge w:val="continue"/>
          </w:tcPr>
          <w:p>
            <w:pPr>
              <w:spacing w:after="0"/>
              <w:rPr>
                <w:sz w:val="8"/>
                <w:szCs w:val="8"/>
                <w:color w:val="auto"/>
              </w:rPr>
            </w:pPr>
          </w:p>
        </w:tc>
        <w:tc>
          <w:tcPr>
            <w:tcW w:w="65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620" w:type="dxa"/>
            <w:vAlign w:val="bottom"/>
          </w:tcPr>
          <w:p>
            <w:pPr>
              <w:spacing w:after="0"/>
              <w:rPr>
                <w:sz w:val="12"/>
                <w:szCs w:val="12"/>
                <w:color w:val="auto"/>
              </w:rPr>
            </w:pPr>
          </w:p>
        </w:tc>
        <w:tc>
          <w:tcPr>
            <w:tcW w:w="2000" w:type="dxa"/>
            <w:vAlign w:val="bottom"/>
            <w:tcBorders>
              <w:right w:val="single" w:sz="8" w:color="auto"/>
            </w:tcBorders>
            <w:vMerge w:val="restart"/>
          </w:tcPr>
          <w:p>
            <w:pPr>
              <w:jc w:val="center"/>
              <w:ind w:right="530"/>
              <w:spacing w:after="0"/>
              <w:rPr>
                <w:sz w:val="20"/>
                <w:szCs w:val="20"/>
                <w:color w:val="auto"/>
              </w:rPr>
            </w:pPr>
            <w:r>
              <w:rPr>
                <w:rFonts w:ascii="Times New Roman" w:cs="Times New Roman" w:eastAsia="Times New Roman" w:hAnsi="Times New Roman"/>
                <w:sz w:val="18"/>
                <w:szCs w:val="18"/>
                <w:color w:val="auto"/>
              </w:rPr>
              <w:t>OWNED BY</w:t>
            </w:r>
          </w:p>
        </w:tc>
        <w:tc>
          <w:tcPr>
            <w:tcW w:w="900" w:type="dxa"/>
            <w:vAlign w:val="bottom"/>
            <w:tcBorders>
              <w:right w:val="single" w:sz="8" w:color="auto"/>
            </w:tcBorders>
          </w:tcPr>
          <w:p>
            <w:pPr>
              <w:spacing w:after="0"/>
              <w:rPr>
                <w:sz w:val="12"/>
                <w:szCs w:val="12"/>
                <w:color w:val="auto"/>
              </w:rPr>
            </w:pPr>
          </w:p>
        </w:tc>
        <w:tc>
          <w:tcPr>
            <w:tcW w:w="6560" w:type="dxa"/>
            <w:vAlign w:val="bottom"/>
            <w:vMerge w:val="continue"/>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620" w:type="dxa"/>
            <w:vAlign w:val="bottom"/>
          </w:tcPr>
          <w:p>
            <w:pPr>
              <w:spacing w:after="0"/>
              <w:rPr>
                <w:sz w:val="8"/>
                <w:szCs w:val="8"/>
                <w:color w:val="auto"/>
              </w:rPr>
            </w:pPr>
          </w:p>
        </w:tc>
        <w:tc>
          <w:tcPr>
            <w:tcW w:w="2000" w:type="dxa"/>
            <w:vAlign w:val="bottom"/>
            <w:tcBorders>
              <w:right w:val="single" w:sz="8" w:color="auto"/>
            </w:tcBorders>
            <w:vMerge w:val="continue"/>
          </w:tcPr>
          <w:p>
            <w:pPr>
              <w:spacing w:after="0"/>
              <w:rPr>
                <w:sz w:val="8"/>
                <w:szCs w:val="8"/>
                <w:color w:val="auto"/>
              </w:rPr>
            </w:pPr>
          </w:p>
        </w:tc>
        <w:tc>
          <w:tcPr>
            <w:tcW w:w="900" w:type="dxa"/>
            <w:vAlign w:val="bottom"/>
            <w:tcBorders>
              <w:bottom w:val="single" w:sz="8" w:color="auto"/>
              <w:right w:val="single" w:sz="8" w:color="auto"/>
            </w:tcBorders>
          </w:tcPr>
          <w:p>
            <w:pPr>
              <w:spacing w:after="0"/>
              <w:rPr>
                <w:sz w:val="8"/>
                <w:szCs w:val="8"/>
                <w:color w:val="auto"/>
              </w:rPr>
            </w:pPr>
          </w:p>
        </w:tc>
        <w:tc>
          <w:tcPr>
            <w:tcW w:w="65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620" w:type="dxa"/>
            <w:vAlign w:val="bottom"/>
          </w:tcPr>
          <w:p>
            <w:pPr>
              <w:spacing w:after="0"/>
              <w:rPr>
                <w:sz w:val="15"/>
                <w:szCs w:val="15"/>
                <w:color w:val="auto"/>
              </w:rPr>
            </w:pPr>
          </w:p>
        </w:tc>
        <w:tc>
          <w:tcPr>
            <w:tcW w:w="2000" w:type="dxa"/>
            <w:vAlign w:val="bottom"/>
            <w:tcBorders>
              <w:right w:val="single" w:sz="8" w:color="auto"/>
            </w:tcBorders>
          </w:tcPr>
          <w:p>
            <w:pPr>
              <w:jc w:val="center"/>
              <w:ind w:right="53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900" w:type="dxa"/>
            <w:vAlign w:val="bottom"/>
            <w:tcBorders>
              <w:right w:val="single" w:sz="8" w:color="auto"/>
            </w:tcBorders>
          </w:tcPr>
          <w:p>
            <w:pPr>
              <w:spacing w:after="0"/>
              <w:rPr>
                <w:sz w:val="15"/>
                <w:szCs w:val="15"/>
                <w:color w:val="auto"/>
              </w:rPr>
            </w:pPr>
          </w:p>
        </w:tc>
        <w:tc>
          <w:tcPr>
            <w:tcW w:w="65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620" w:type="dxa"/>
            <w:vAlign w:val="bottom"/>
          </w:tcPr>
          <w:p>
            <w:pPr>
              <w:spacing w:after="0"/>
              <w:rPr>
                <w:sz w:val="9"/>
                <w:szCs w:val="9"/>
                <w:color w:val="auto"/>
              </w:rPr>
            </w:pPr>
          </w:p>
        </w:tc>
        <w:tc>
          <w:tcPr>
            <w:tcW w:w="2000" w:type="dxa"/>
            <w:vAlign w:val="bottom"/>
            <w:tcBorders>
              <w:right w:val="single" w:sz="8" w:color="auto"/>
            </w:tcBorders>
            <w:vMerge w:val="restart"/>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656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20" w:type="dxa"/>
            <w:vAlign w:val="bottom"/>
          </w:tcPr>
          <w:p>
            <w:pPr>
              <w:spacing w:after="0"/>
              <w:rPr>
                <w:sz w:val="9"/>
                <w:szCs w:val="9"/>
                <w:color w:val="auto"/>
              </w:rPr>
            </w:pPr>
          </w:p>
        </w:tc>
        <w:tc>
          <w:tcPr>
            <w:tcW w:w="200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65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6,778,550</w:t>
            </w: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620" w:type="dxa"/>
            <w:vAlign w:val="bottom"/>
          </w:tcPr>
          <w:p>
            <w:pPr>
              <w:spacing w:after="0"/>
              <w:rPr>
                <w:sz w:val="10"/>
                <w:szCs w:val="10"/>
                <w:color w:val="auto"/>
              </w:rPr>
            </w:pPr>
          </w:p>
        </w:tc>
        <w:tc>
          <w:tcPr>
            <w:tcW w:w="2000" w:type="dxa"/>
            <w:vAlign w:val="bottom"/>
            <w:tcBorders>
              <w:right w:val="single" w:sz="8" w:color="auto"/>
            </w:tcBorders>
            <w:vMerge w:val="restart"/>
          </w:tcPr>
          <w:p>
            <w:pPr>
              <w:jc w:val="center"/>
              <w:ind w:right="530"/>
              <w:spacing w:after="0"/>
              <w:rPr>
                <w:sz w:val="20"/>
                <w:szCs w:val="20"/>
                <w:color w:val="auto"/>
              </w:rPr>
            </w:pPr>
            <w:r>
              <w:rPr>
                <w:rFonts w:ascii="Times New Roman" w:cs="Times New Roman" w:eastAsia="Times New Roman" w:hAnsi="Times New Roman"/>
                <w:sz w:val="18"/>
                <w:szCs w:val="18"/>
                <w:color w:val="auto"/>
              </w:rPr>
              <w:t>PERSON</w:t>
            </w:r>
          </w:p>
        </w:tc>
        <w:tc>
          <w:tcPr>
            <w:tcW w:w="900" w:type="dxa"/>
            <w:vAlign w:val="bottom"/>
            <w:tcBorders>
              <w:right w:val="single" w:sz="8" w:color="auto"/>
            </w:tcBorders>
          </w:tcPr>
          <w:p>
            <w:pPr>
              <w:spacing w:after="0"/>
              <w:rPr>
                <w:sz w:val="10"/>
                <w:szCs w:val="10"/>
                <w:color w:val="auto"/>
              </w:rPr>
            </w:pPr>
          </w:p>
        </w:tc>
        <w:tc>
          <w:tcPr>
            <w:tcW w:w="656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620" w:type="dxa"/>
            <w:vAlign w:val="bottom"/>
          </w:tcPr>
          <w:p>
            <w:pPr>
              <w:spacing w:after="0"/>
              <w:rPr>
                <w:sz w:val="8"/>
                <w:szCs w:val="8"/>
                <w:color w:val="auto"/>
              </w:rPr>
            </w:pPr>
          </w:p>
        </w:tc>
        <w:tc>
          <w:tcPr>
            <w:tcW w:w="2000" w:type="dxa"/>
            <w:vAlign w:val="bottom"/>
            <w:tcBorders>
              <w:right w:val="single" w:sz="8" w:color="auto"/>
            </w:tcBorders>
            <w:vMerge w:val="continue"/>
          </w:tcPr>
          <w:p>
            <w:pPr>
              <w:spacing w:after="0"/>
              <w:rPr>
                <w:sz w:val="8"/>
                <w:szCs w:val="8"/>
                <w:color w:val="auto"/>
              </w:rPr>
            </w:pPr>
          </w:p>
        </w:tc>
        <w:tc>
          <w:tcPr>
            <w:tcW w:w="900" w:type="dxa"/>
            <w:vAlign w:val="bottom"/>
            <w:tcBorders>
              <w:bottom w:val="single" w:sz="8" w:color="auto"/>
              <w:right w:val="single" w:sz="8" w:color="auto"/>
            </w:tcBorders>
          </w:tcPr>
          <w:p>
            <w:pPr>
              <w:spacing w:after="0"/>
              <w:rPr>
                <w:sz w:val="8"/>
                <w:szCs w:val="8"/>
                <w:color w:val="auto"/>
              </w:rPr>
            </w:pPr>
          </w:p>
        </w:tc>
        <w:tc>
          <w:tcPr>
            <w:tcW w:w="65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620" w:type="dxa"/>
            <w:vAlign w:val="bottom"/>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620" w:type="dxa"/>
            <w:vAlign w:val="bottom"/>
          </w:tcPr>
          <w:p>
            <w:pPr>
              <w:spacing w:after="0"/>
              <w:rPr>
                <w:sz w:val="10"/>
                <w:szCs w:val="10"/>
                <w:color w:val="auto"/>
              </w:rPr>
            </w:pPr>
          </w:p>
        </w:tc>
        <w:tc>
          <w:tcPr>
            <w:tcW w:w="20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vMerge w:val="continue"/>
          </w:tcPr>
          <w:p>
            <w:pPr>
              <w:spacing w:after="0"/>
              <w:rPr>
                <w:sz w:val="10"/>
                <w:szCs w:val="10"/>
                <w:color w:val="auto"/>
              </w:rPr>
            </w:pPr>
          </w:p>
        </w:tc>
        <w:tc>
          <w:tcPr>
            <w:tcW w:w="65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20" w:type="dxa"/>
            <w:vAlign w:val="bottom"/>
          </w:tcPr>
          <w:p>
            <w:pPr>
              <w:spacing w:after="0"/>
              <w:rPr>
                <w:sz w:val="9"/>
                <w:szCs w:val="9"/>
                <w:color w:val="auto"/>
              </w:rPr>
            </w:pPr>
          </w:p>
        </w:tc>
        <w:tc>
          <w:tcPr>
            <w:tcW w:w="200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656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620" w:type="dxa"/>
            <w:vAlign w:val="bottom"/>
            <w:tcBorders>
              <w:bottom w:val="single" w:sz="8" w:color="auto"/>
            </w:tcBorders>
          </w:tcPr>
          <w:p>
            <w:pPr>
              <w:spacing w:after="0"/>
              <w:rPr>
                <w:sz w:val="8"/>
                <w:szCs w:val="8"/>
                <w:color w:val="auto"/>
              </w:rPr>
            </w:pPr>
          </w:p>
        </w:tc>
        <w:tc>
          <w:tcPr>
            <w:tcW w:w="2000" w:type="dxa"/>
            <w:vAlign w:val="bottom"/>
            <w:tcBorders>
              <w:bottom w:val="single" w:sz="8" w:color="auto"/>
              <w:right w:val="single" w:sz="8" w:color="auto"/>
            </w:tcBorders>
          </w:tcPr>
          <w:p>
            <w:pPr>
              <w:spacing w:after="0"/>
              <w:rPr>
                <w:sz w:val="8"/>
                <w:szCs w:val="8"/>
                <w:color w:val="auto"/>
              </w:rPr>
            </w:pPr>
          </w:p>
        </w:tc>
        <w:tc>
          <w:tcPr>
            <w:tcW w:w="900" w:type="dxa"/>
            <w:vAlign w:val="bottom"/>
            <w:tcBorders>
              <w:bottom w:val="single" w:sz="8" w:color="auto"/>
              <w:right w:val="single" w:sz="8" w:color="auto"/>
            </w:tcBorders>
          </w:tcPr>
          <w:p>
            <w:pPr>
              <w:spacing w:after="0"/>
              <w:rPr>
                <w:sz w:val="8"/>
                <w:szCs w:val="8"/>
                <w:color w:val="auto"/>
              </w:rPr>
            </w:pPr>
          </w:p>
        </w:tc>
        <w:tc>
          <w:tcPr>
            <w:tcW w:w="65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w:t>
      </w:r>
    </w:p>
    <w:p>
      <w:pPr>
        <w:spacing w:after="0" w:line="1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6,778,550</w:t>
      </w:r>
    </w:p>
    <w:p>
      <w:pPr>
        <w:spacing w:after="0" w:line="183" w:lineRule="exact"/>
        <w:rPr>
          <w:sz w:val="20"/>
          <w:szCs w:val="20"/>
          <w:color w:val="auto"/>
        </w:rPr>
      </w:pPr>
    </w:p>
    <w:tbl>
      <w:tblPr>
        <w:tblLayout w:type="fixed"/>
        <w:tblInd w:w="440" w:type="dxa"/>
        <w:tblCellMar>
          <w:top w:w="0" w:type="dxa"/>
          <w:left w:w="0" w:type="dxa"/>
          <w:bottom w:w="0" w:type="dxa"/>
          <w:right w:w="0" w:type="dxa"/>
        </w:tblCellMar>
      </w:tblPr>
      <w:tr>
        <w:trPr>
          <w:trHeight w:val="283"/>
        </w:trPr>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12</w:t>
            </w:r>
          </w:p>
        </w:tc>
        <w:tc>
          <w:tcPr>
            <w:tcW w:w="9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 (See Instructions)</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5" w:lineRule="exact"/>
        <w:rPr>
          <w:sz w:val="20"/>
          <w:szCs w:val="20"/>
          <w:color w:val="auto"/>
        </w:rPr>
      </w:pPr>
    </w:p>
    <w:p>
      <w:pPr>
        <w:ind w:left="1140" w:right="4960" w:hanging="709"/>
        <w:spacing w:after="0" w:line="184" w:lineRule="auto"/>
        <w:tabs>
          <w:tab w:leader="none" w:pos="1140" w:val="left"/>
        </w:tabs>
        <w:numPr>
          <w:ilvl w:val="0"/>
          <w:numId w:val="13"/>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PERCENT OF CLASS REPRESENTED BY AMOUNT IN ROW (11) 27.20%</w:t>
      </w:r>
    </w:p>
    <w:p>
      <w:pPr>
        <w:spacing w:after="0" w:line="18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TYPE OF REPORTING PERSON (See Instructions)</w:t>
      </w: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14</w:t>
      </w:r>
    </w:p>
    <w:p>
      <w:pPr>
        <w:spacing w:after="0" w:line="1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 w:name="page5"/>
    <w:bookmarkEnd w:id="4"/>
    <w:p>
      <w:pPr>
        <w:ind w:right="40"/>
        <w:spacing w:after="0" w:line="256" w:lineRule="auto"/>
        <w:rPr>
          <w:sz w:val="20"/>
          <w:szCs w:val="20"/>
          <w:color w:val="auto"/>
        </w:rPr>
      </w:pPr>
      <w:r>
        <w:rPr>
          <w:rFonts w:ascii="Times New Roman" w:cs="Times New Roman" w:eastAsia="Times New Roman" w:hAnsi="Times New Roman"/>
          <w:sz w:val="18"/>
          <w:szCs w:val="18"/>
          <w:color w:val="auto"/>
        </w:rPr>
        <w:t>This Amendment No. 2 (“</w:t>
      </w:r>
      <w:r>
        <w:rPr>
          <w:rFonts w:ascii="Times New Roman" w:cs="Times New Roman" w:eastAsia="Times New Roman" w:hAnsi="Times New Roman"/>
          <w:sz w:val="18"/>
          <w:szCs w:val="18"/>
          <w:u w:val="single" w:color="auto"/>
          <w:color w:val="auto"/>
        </w:rPr>
        <w:t>Amendment No. 2</w:t>
      </w:r>
      <w:r>
        <w:rPr>
          <w:rFonts w:ascii="Times New Roman" w:cs="Times New Roman" w:eastAsia="Times New Roman" w:hAnsi="Times New Roman"/>
          <w:sz w:val="18"/>
          <w:szCs w:val="18"/>
          <w:color w:val="auto"/>
        </w:rPr>
        <w:t>”) supplements and amends the Statement on Schedule 13D filed on August 9, 2021, as amended by Amendment No. 1 filed on February 1, 2022 (collectively, the “</w:t>
      </w:r>
      <w:r>
        <w:rPr>
          <w:rFonts w:ascii="Times New Roman" w:cs="Times New Roman" w:eastAsia="Times New Roman" w:hAnsi="Times New Roman"/>
          <w:sz w:val="18"/>
          <w:szCs w:val="18"/>
          <w:u w:val="single" w:color="auto"/>
          <w:color w:val="auto"/>
        </w:rPr>
        <w:t>Prior 13D Filings</w:t>
      </w:r>
      <w:r>
        <w:rPr>
          <w:rFonts w:ascii="Times New Roman" w:cs="Times New Roman" w:eastAsia="Times New Roman" w:hAnsi="Times New Roman"/>
          <w:sz w:val="18"/>
          <w:szCs w:val="18"/>
          <w:color w:val="auto"/>
        </w:rPr>
        <w:t>”), relating to the beneficial ownership of certain shares of Class A common stock, $0.0001 par value per share (the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of Rani Therapeutics Holdings, Inc.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a Delaware corporation. Information reported in the Prior 13D Filings remains in effect except to the extent that it is amended, restated or superseded by information contained in this Amendment No. 2. Unless otherwise indicated, capitalized terms used but not otherwise defined herein shall have the meaning assigned to such terms in the Prior 13D Filings. Responses to each item of this Amendment No. 2 are incorporated by reference into the response to each other item, as applicable.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22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Since the Prior 13D Filings, South Lake One purchased an aggregate of 249,194 shares of Class A Common Stock for an aggregate of $1,731,267.02 in multiple open-market purchases during November 2022, December 2022, January 2023, February 2023, and March 2023, in each case as previously reported on a Form 4 filed with the SEC.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funds used by South Lake One to purchase the Class A Common Stock were obtained from its working capital.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the Transaction.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above in Item 3 of this Statement is incorporated herein by reference.</w:t>
      </w:r>
    </w:p>
    <w:p>
      <w:pPr>
        <w:spacing w:after="0" w:line="225"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Reporting Persons acquired and hold the shares of Class A Common Stock reported herein for investment purposes. The Reporting Persons intend to review their investment on a regular basis and, as a result thereof, may at any time or from time to time determine to, directly or indirectly (a) acquire additional securities of the Issuer, through open market purchases, privately negotiated transactions or otherwise, (b) dispose of all or a portion of the securities of the Issuer owned by it in the open market, in privately negotiated transactions or otherwise, (c) enter into privately negotiated derivative transactions with institutional counterparties to hedge the market risk of some or all of its positions in the securities of the Issuer or (d) take any other available course of action, which could involve one or more of the types of transactions or have one or more of the results described in clauses (a) through</w:t>
      </w:r>
    </w:p>
    <w:p>
      <w:pPr>
        <w:spacing w:after="0" w:line="5" w:lineRule="exact"/>
        <w:rPr>
          <w:sz w:val="20"/>
          <w:szCs w:val="20"/>
          <w:color w:val="auto"/>
        </w:rPr>
      </w:pPr>
    </w:p>
    <w:p>
      <w:pPr>
        <w:ind w:right="40" w:firstLine="8"/>
        <w:spacing w:after="0" w:line="251" w:lineRule="auto"/>
        <w:tabs>
          <w:tab w:leader="none" w:pos="2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Item 4 of Schedule 13D. Any such acquisition or disposition or other transaction would be made in compliance with all applicable laws and regulations. Notwithstanding anything contained herein, the Reporting Persons specifically reserve the right to change their intention with respect to any or all of such matters. In reaching any decision as to its course of action (as well as to the specific elements thereof), the Reporting Persons currently expect that it would take into consideration a variety of factors, including, but not limited to, the following: (i) the Issuer’s business and prospects; (ii) other developments concerning the Issuer and its businesses generally; (iii) other business opportunities available to the Reporting Persons; (iv) changes in law and government regulations; (v) general economic conditions; and (vi) financial and stock market conditions, including the market price of the securities of the Issuer. Except as set forth herein or in the Prior 13D Filings, the Reporting Persons have no present plans or proposals that relate to or that would result in any of the actions specified in clauses (a) through (j) of Item 4 of Schedule 13D.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(a) – (b)</w:t>
            </w: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South Lake Management indirectly holds an aggregate of 6,778,550 shares of Class A Common Stock of the Issuer. Each share of Class</w:t>
            </w:r>
          </w:p>
        </w:tc>
      </w:tr>
      <w:tr>
        <w:trPr>
          <w:trHeight w:val="216"/>
        </w:trPr>
        <w:tc>
          <w:tcPr>
            <w:tcW w:w="960" w:type="dxa"/>
            <w:vAlign w:val="bottom"/>
          </w:tcPr>
          <w:p>
            <w:pPr>
              <w:spacing w:after="0"/>
              <w:rPr>
                <w:sz w:val="18"/>
                <w:szCs w:val="18"/>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 Common Stock is entitled to one vote. South Lake Management beneficially owns 27.20% of the outstanding Class A Common Stock</w:t>
            </w:r>
          </w:p>
        </w:tc>
      </w:tr>
      <w:tr>
        <w:trPr>
          <w:trHeight w:val="234"/>
        </w:trPr>
        <w:tc>
          <w:tcPr>
            <w:tcW w:w="960" w:type="dxa"/>
            <w:vAlign w:val="bottom"/>
          </w:tcPr>
          <w:p>
            <w:pPr>
              <w:spacing w:after="0"/>
              <w:rPr>
                <w:sz w:val="20"/>
                <w:szCs w:val="20"/>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of the Issuer.</w:t>
            </w:r>
          </w:p>
        </w:tc>
      </w:tr>
      <w:tr>
        <w:trPr>
          <w:trHeight w:val="432"/>
        </w:trPr>
        <w:tc>
          <w:tcPr>
            <w:tcW w:w="960" w:type="dxa"/>
            <w:vAlign w:val="bottom"/>
            <w:tcBorders>
              <w:bottom w:val="single" w:sz="8" w:color="auto"/>
            </w:tcBorders>
          </w:tcPr>
          <w:p>
            <w:pPr>
              <w:spacing w:after="0"/>
              <w:rPr>
                <w:sz w:val="24"/>
                <w:szCs w:val="24"/>
                <w:color w:val="auto"/>
              </w:rPr>
            </w:pPr>
          </w:p>
        </w:tc>
        <w:tc>
          <w:tcPr>
            <w:tcW w:w="10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 w:name="page6"/>
    <w:bookmarkEnd w:id="5"/>
    <w:p>
      <w:pPr>
        <w:ind w:left="1300" w:right="180"/>
        <w:spacing w:after="0" w:line="282" w:lineRule="auto"/>
        <w:rPr>
          <w:sz w:val="20"/>
          <w:szCs w:val="20"/>
          <w:color w:val="auto"/>
        </w:rPr>
      </w:pPr>
      <w:r>
        <w:rPr>
          <w:rFonts w:ascii="Times New Roman" w:cs="Times New Roman" w:eastAsia="Times New Roman" w:hAnsi="Times New Roman"/>
          <w:sz w:val="18"/>
          <w:szCs w:val="18"/>
          <w:color w:val="auto"/>
        </w:rPr>
        <w:t>South Cone indirectly holds an aggregate of 6,778,550 shares of Class A Common Stock of the Issuer. Each share of Class A Common Stock is entitled to one vote. South Cone beneficially owns 27.20% of the outstanding Class A Common Stock of the Issuer.</w:t>
      </w:r>
    </w:p>
    <w:p>
      <w:pPr>
        <w:spacing w:after="0" w:line="162"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South Lake One directly holds an aggregate of 6,778,550 shares of Class A Common Stock of the Issuer. Each share of Class A Common Stock is entitled to one vote. South Lake One directly owns 27.20% of the outstanding Class A Common Stock of the Issuer.</w:t>
      </w:r>
    </w:p>
    <w:p>
      <w:pPr>
        <w:spacing w:after="0" w:line="162" w:lineRule="exact"/>
        <w:rPr>
          <w:sz w:val="20"/>
          <w:szCs w:val="20"/>
          <w:color w:val="auto"/>
        </w:rPr>
      </w:pPr>
    </w:p>
    <w:p>
      <w:pPr>
        <w:ind w:left="1300" w:right="140"/>
        <w:spacing w:after="0" w:line="266" w:lineRule="auto"/>
        <w:rPr>
          <w:sz w:val="20"/>
          <w:szCs w:val="20"/>
          <w:color w:val="auto"/>
        </w:rPr>
      </w:pPr>
      <w:r>
        <w:rPr>
          <w:rFonts w:ascii="Times New Roman" w:cs="Times New Roman" w:eastAsia="Times New Roman" w:hAnsi="Times New Roman"/>
          <w:sz w:val="18"/>
          <w:szCs w:val="18"/>
          <w:color w:val="auto"/>
        </w:rPr>
        <w:t>South Lake Management, through South Cone, indirectly controls South Lake One, which has sole voting power and sole dispositive power with respect to 6,778,550 shares of Class A Common Stock of the Issuer held directly by it. South Lake One is wholly owned by South Cone, which is controlled by its general partner, South Lake Management, which is controlled by its Board of Managers.</w:t>
      </w:r>
    </w:p>
    <w:p>
      <w:pPr>
        <w:spacing w:after="0" w:line="176" w:lineRule="exact"/>
        <w:rPr>
          <w:sz w:val="20"/>
          <w:szCs w:val="20"/>
          <w:color w:val="auto"/>
        </w:rPr>
      </w:pPr>
    </w:p>
    <w:p>
      <w:pPr>
        <w:ind w:left="1300" w:right="160"/>
        <w:spacing w:after="0" w:line="266" w:lineRule="auto"/>
        <w:rPr>
          <w:sz w:val="20"/>
          <w:szCs w:val="20"/>
          <w:color w:val="auto"/>
        </w:rPr>
      </w:pPr>
      <w:r>
        <w:rPr>
          <w:rFonts w:ascii="Times New Roman" w:cs="Times New Roman" w:eastAsia="Times New Roman" w:hAnsi="Times New Roman"/>
          <w:sz w:val="18"/>
          <w:szCs w:val="18"/>
          <w:color w:val="auto"/>
        </w:rPr>
        <w:t>The shares of Class A Common Stock owned by the Reporting Persons as a percentage of the outstanding shares of Class A Common Stock of the Issuer presented in this Statement is based upon 24,918,045 shares of Class A Common Stock outstanding as of December 31, 2022, which was provided by the Issuer.</w:t>
      </w:r>
    </w:p>
    <w:p>
      <w:pPr>
        <w:spacing w:after="0" w:line="176" w:lineRule="exact"/>
        <w:rPr>
          <w:sz w:val="20"/>
          <w:szCs w:val="20"/>
          <w:color w:val="auto"/>
        </w:rPr>
      </w:pPr>
    </w:p>
    <w:p>
      <w:pPr>
        <w:ind w:left="1300" w:hanging="1292"/>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Item 3 and Item 4 of this Statement is incorporated by reference herein.</w:t>
      </w:r>
    </w:p>
    <w:p>
      <w:pPr>
        <w:spacing w:after="0" w:line="225" w:lineRule="exact"/>
        <w:rPr>
          <w:rFonts w:ascii="Times New Roman" w:cs="Times New Roman" w:eastAsia="Times New Roman" w:hAnsi="Times New Roman"/>
          <w:sz w:val="18"/>
          <w:szCs w:val="18"/>
          <w:color w:val="auto"/>
        </w:rPr>
      </w:pPr>
    </w:p>
    <w:p>
      <w:pPr>
        <w:ind w:left="1300" w:hanging="1292"/>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1300" w:hanging="1292"/>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Materials to be Filed as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99.1 — Joint Filing Agreement, dated March 15,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6" w:name="page7"/>
    <w:bookmarkEnd w:id="6"/>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each of the Prior Reporting Person’s knowledge and belief, each of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15, 2023</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South Lake Management LLC</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Isidoro Quiroga Cortés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Isidoro Quiroga Cortés</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Manager</w:t>
      </w:r>
    </w:p>
    <w:p>
      <w:pPr>
        <w:spacing w:after="0" w:line="207"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Luis Felipe Correa González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Luis Felipe Correa González</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Manager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South Cone Investments Limited Partnership</w:t>
      </w:r>
    </w:p>
    <w:p>
      <w:pPr>
        <w:spacing w:after="0" w:line="225"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b w:val="1"/>
          <w:bCs w:val="1"/>
          <w:color w:val="auto"/>
        </w:rPr>
        <w:t>By</w:t>
        <w:tab/>
        <w:t>South Lake Management LLC, as General Partner</w:t>
      </w:r>
    </w:p>
    <w:p>
      <w:pPr>
        <w:spacing w:after="0" w:line="229" w:lineRule="exact"/>
        <w:rPr>
          <w:sz w:val="20"/>
          <w:szCs w:val="20"/>
          <w:color w:val="auto"/>
        </w:rPr>
      </w:pPr>
    </w:p>
    <w:p>
      <w:pPr>
        <w:ind w:left="6080"/>
        <w:spacing w:after="0"/>
        <w:tabs>
          <w:tab w:leader="none" w:pos="6500" w:val="left"/>
        </w:tabs>
        <w:rPr>
          <w:sz w:val="20"/>
          <w:szCs w:val="20"/>
          <w:color w:val="auto"/>
        </w:rPr>
      </w:pPr>
      <w:r>
        <w:rPr>
          <w:rFonts w:ascii="Times New Roman" w:cs="Times New Roman" w:eastAsia="Times New Roman" w:hAnsi="Times New Roman"/>
          <w:sz w:val="18"/>
          <w:szCs w:val="18"/>
          <w:color w:val="auto"/>
        </w:rPr>
        <w:t>By:</w:t>
        <w:tab/>
        <w:t>/s/ Isidoro Quiroga Cortés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17145</wp:posOffset>
            </wp:positionV>
            <wp:extent cx="299148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Isidoro Quiroga Cortés</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Manager</w:t>
      </w:r>
    </w:p>
    <w:p>
      <w:pPr>
        <w:spacing w:after="0" w:line="207" w:lineRule="exact"/>
        <w:rPr>
          <w:sz w:val="20"/>
          <w:szCs w:val="20"/>
          <w:color w:val="auto"/>
        </w:rPr>
      </w:pPr>
    </w:p>
    <w:p>
      <w:pPr>
        <w:ind w:left="6080"/>
        <w:spacing w:after="0"/>
        <w:tabs>
          <w:tab w:leader="none" w:pos="6500" w:val="left"/>
        </w:tabs>
        <w:rPr>
          <w:sz w:val="20"/>
          <w:szCs w:val="20"/>
          <w:color w:val="auto"/>
        </w:rPr>
      </w:pPr>
      <w:r>
        <w:rPr>
          <w:rFonts w:ascii="Times New Roman" w:cs="Times New Roman" w:eastAsia="Times New Roman" w:hAnsi="Times New Roman"/>
          <w:sz w:val="18"/>
          <w:szCs w:val="18"/>
          <w:color w:val="auto"/>
        </w:rPr>
        <w:t>By:</w:t>
        <w:tab/>
        <w:t>/s/ Luis Felipe Correa González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17145</wp:posOffset>
            </wp:positionV>
            <wp:extent cx="299148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Luis Felipe Correa González</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Manager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South Lake One LLC</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Isidoro Quiroga Cortés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Isidoro Quiroga Cortés</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Manager</w:t>
      </w:r>
    </w:p>
    <w:p>
      <w:pPr>
        <w:spacing w:after="0" w:line="207"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Luis Felipe Correa González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Luis Felipe Correa González</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60"/>
          </w:cols>
          <w:pgMar w:left="320" w:top="900" w:right="61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13D JOINT FILING AGREEMENT</w:t>
      </w:r>
    </w:p>
    <w:p>
      <w:pPr>
        <w:spacing w:after="0" w:line="229" w:lineRule="exact"/>
        <w:rPr>
          <w:sz w:val="20"/>
          <w:szCs w:val="20"/>
          <w:color w:val="auto"/>
        </w:rPr>
      </w:pPr>
    </w:p>
    <w:p>
      <w:pPr>
        <w:jc w:val="both"/>
        <w:ind w:right="40" w:firstLine="441"/>
        <w:spacing w:after="0" w:line="266" w:lineRule="auto"/>
        <w:rPr>
          <w:sz w:val="20"/>
          <w:szCs w:val="20"/>
          <w:color w:val="auto"/>
        </w:rPr>
      </w:pPr>
      <w:r>
        <w:rPr>
          <w:rFonts w:ascii="Times New Roman" w:cs="Times New Roman" w:eastAsia="Times New Roman" w:hAnsi="Times New Roman"/>
          <w:sz w:val="18"/>
          <w:szCs w:val="18"/>
          <w:color w:val="auto"/>
        </w:rPr>
        <w:t>In accordance with the requirements of Rule 13d-1(k) under the Securities Exchange Act of 1934, as amended, and subject to the limitations set forth therein, the parties set forth below agree to jointly file the Schedule 13D to which this Joint Filing Agreement is attached and have duly executed this Joint Filing Agreement as of March 15, 2023.</w:t>
      </w:r>
    </w:p>
    <w:p>
      <w:pPr>
        <w:spacing w:after="0" w:line="17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South Lake Management LLC</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Isidoro Quiroga Cortés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Isidoro Quiroga Cortés</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Manager</w:t>
      </w:r>
    </w:p>
    <w:p>
      <w:pPr>
        <w:spacing w:after="0" w:line="207"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Luis Felipe Correa González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Luis Felipe Correa González</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Manager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South Cone Investments Limited Partnership</w:t>
      </w:r>
    </w:p>
    <w:p>
      <w:pPr>
        <w:spacing w:after="0" w:line="225"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b w:val="1"/>
          <w:bCs w:val="1"/>
          <w:color w:val="auto"/>
        </w:rPr>
        <w:t>By</w:t>
        <w:tab/>
        <w:t>South Lake Management LLC, as General Partner</w:t>
      </w:r>
    </w:p>
    <w:p>
      <w:pPr>
        <w:spacing w:after="0" w:line="229" w:lineRule="exact"/>
        <w:rPr>
          <w:sz w:val="20"/>
          <w:szCs w:val="20"/>
          <w:color w:val="auto"/>
        </w:rPr>
      </w:pPr>
    </w:p>
    <w:p>
      <w:pPr>
        <w:ind w:left="6080"/>
        <w:spacing w:after="0"/>
        <w:tabs>
          <w:tab w:leader="none" w:pos="6500" w:val="left"/>
        </w:tabs>
        <w:rPr>
          <w:sz w:val="20"/>
          <w:szCs w:val="20"/>
          <w:color w:val="auto"/>
        </w:rPr>
      </w:pPr>
      <w:r>
        <w:rPr>
          <w:rFonts w:ascii="Times New Roman" w:cs="Times New Roman" w:eastAsia="Times New Roman" w:hAnsi="Times New Roman"/>
          <w:sz w:val="18"/>
          <w:szCs w:val="18"/>
          <w:color w:val="auto"/>
        </w:rPr>
        <w:t>By:</w:t>
        <w:tab/>
        <w:t>/s/ Isidoro Quiroga Cortés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17145</wp:posOffset>
            </wp:positionV>
            <wp:extent cx="299148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Isidoro Quiroga Cortés</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Manager</w:t>
      </w:r>
    </w:p>
    <w:p>
      <w:pPr>
        <w:spacing w:after="0" w:line="207" w:lineRule="exact"/>
        <w:rPr>
          <w:sz w:val="20"/>
          <w:szCs w:val="20"/>
          <w:color w:val="auto"/>
        </w:rPr>
      </w:pPr>
    </w:p>
    <w:p>
      <w:pPr>
        <w:ind w:left="6080"/>
        <w:spacing w:after="0"/>
        <w:tabs>
          <w:tab w:leader="none" w:pos="6500" w:val="left"/>
        </w:tabs>
        <w:rPr>
          <w:sz w:val="20"/>
          <w:szCs w:val="20"/>
          <w:color w:val="auto"/>
        </w:rPr>
      </w:pPr>
      <w:r>
        <w:rPr>
          <w:rFonts w:ascii="Times New Roman" w:cs="Times New Roman" w:eastAsia="Times New Roman" w:hAnsi="Times New Roman"/>
          <w:sz w:val="18"/>
          <w:szCs w:val="18"/>
          <w:color w:val="auto"/>
        </w:rPr>
        <w:t>By:</w:t>
        <w:tab/>
        <w:t>/s/ Luis Felipe Correa González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17145</wp:posOffset>
            </wp:positionV>
            <wp:extent cx="299148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Luis Felipe Correa González</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Manager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South Lake One LLC</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Isidoro Quiroga Cortés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Isidoro Quiroga Cortés</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Manager</w:t>
      </w:r>
    </w:p>
    <w:p>
      <w:pPr>
        <w:spacing w:after="0" w:line="207"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Luis Felipe Correa González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Luis Felipe Correa González</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bullet"/>
      <w:start w:val="1"/>
    </w:lvl>
  </w:abstractNum>
  <w:abstractNum w:abstractNumId="2">
    <w:nsid w:val="5BD062C2"/>
    <w:multiLevelType w:val="hybridMultilevel"/>
    <w:lvl w:ilvl="0">
      <w:lvlJc w:val="left"/>
      <w:lvlText w:val="2"/>
      <w:numFmt w:val="bullet"/>
      <w:start w:val="1"/>
    </w:lvl>
  </w:abstractNum>
  <w:abstractNum w:abstractNumId="3">
    <w:nsid w:val="12200854"/>
    <w:multiLevelType w:val="hybridMultilevel"/>
    <w:lvl w:ilvl="0">
      <w:lvlJc w:val="left"/>
      <w:lvlText w:val="3"/>
      <w:numFmt w:val="bullet"/>
      <w:start w:val="1"/>
    </w:lvl>
  </w:abstractNum>
  <w:abstractNum w:abstractNumId="4">
    <w:nsid w:val="4DB127F8"/>
    <w:multiLevelType w:val="hybridMultilevel"/>
    <w:lvl w:ilvl="0">
      <w:lvlJc w:val="left"/>
      <w:lvlText w:val="%1"/>
      <w:numFmt w:val="decimal"/>
      <w:start w:val="13"/>
    </w:lvl>
  </w:abstractNum>
  <w:abstractNum w:abstractNumId="5">
    <w:nsid w:val="216231B"/>
    <w:multiLevelType w:val="hybridMultilevel"/>
    <w:lvl w:ilvl="0">
      <w:lvlJc w:val="left"/>
      <w:lvlText w:val="1"/>
      <w:numFmt w:val="bullet"/>
      <w:start w:val="1"/>
    </w:lvl>
  </w:abstractNum>
  <w:abstractNum w:abstractNumId="6">
    <w:nsid w:val="1F16E9E8"/>
    <w:multiLevelType w:val="hybridMultilevel"/>
    <w:lvl w:ilvl="0">
      <w:lvlJc w:val="left"/>
      <w:lvlText w:val="2"/>
      <w:numFmt w:val="bullet"/>
      <w:start w:val="1"/>
    </w:lvl>
  </w:abstractNum>
  <w:abstractNum w:abstractNumId="7">
    <w:nsid w:val="1190CDE7"/>
    <w:multiLevelType w:val="hybridMultilevel"/>
    <w:lvl w:ilvl="0">
      <w:lvlJc w:val="left"/>
      <w:lvlText w:val="3"/>
      <w:numFmt w:val="bullet"/>
      <w:start w:val="1"/>
    </w:lvl>
  </w:abstractNum>
  <w:abstractNum w:abstractNumId="8">
    <w:nsid w:val="66EF438D"/>
    <w:multiLevelType w:val="hybridMultilevel"/>
    <w:lvl w:ilvl="0">
      <w:lvlJc w:val="left"/>
      <w:lvlText w:val="%1"/>
      <w:numFmt w:val="decimal"/>
      <w:start w:val="13"/>
    </w:lvl>
  </w:abstractNum>
  <w:abstractNum w:abstractNumId="9">
    <w:nsid w:val="140E0F76"/>
    <w:multiLevelType w:val="hybridMultilevel"/>
    <w:lvl w:ilvl="0">
      <w:lvlJc w:val="left"/>
      <w:lvlText w:val="1"/>
      <w:numFmt w:val="bullet"/>
      <w:start w:val="1"/>
    </w:lvl>
  </w:abstractNum>
  <w:abstractNum w:abstractNumId="10">
    <w:nsid w:val="3352255A"/>
    <w:multiLevelType w:val="hybridMultilevel"/>
    <w:lvl w:ilvl="0">
      <w:lvlJc w:val="left"/>
      <w:lvlText w:val="2"/>
      <w:numFmt w:val="bullet"/>
      <w:start w:val="1"/>
    </w:lvl>
  </w:abstractNum>
  <w:abstractNum w:abstractNumId="11">
    <w:nsid w:val="109CF92E"/>
    <w:multiLevelType w:val="hybridMultilevel"/>
    <w:lvl w:ilvl="0">
      <w:lvlJc w:val="left"/>
      <w:lvlText w:val="3"/>
      <w:numFmt w:val="bullet"/>
      <w:start w:val="1"/>
    </w:lvl>
  </w:abstractNum>
  <w:abstractNum w:abstractNumId="12">
    <w:nsid w:val="DED7263"/>
    <w:multiLevelType w:val="hybridMultilevel"/>
    <w:lvl w:ilvl="0">
      <w:lvlJc w:val="left"/>
      <w:lvlText w:val="%1"/>
      <w:numFmt w:val="decimal"/>
      <w:start w:val="13"/>
    </w:lvl>
  </w:abstractNum>
  <w:abstractNum w:abstractNumId="13">
    <w:nsid w:val="7FDCC233"/>
    <w:multiLevelType w:val="hybridMultilevel"/>
    <w:lvl w:ilvl="0">
      <w:lvlJc w:val="left"/>
      <w:lvlText w:val="(%1)"/>
      <w:numFmt w:val="lowerLetter"/>
      <w:start w:val="10"/>
    </w:lvl>
  </w:abstractNum>
  <w:abstractNum w:abstractNumId="14">
    <w:nsid w:val="1BEFD79F"/>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2023-03-15T10:26:07Z</dcterms:created>
  <dcterms:modified xsi:type="dcterms:W3CDTF">2023-03-15T10:26:07Z</dcterms:modified>
</cp:coreProperties>
</file>