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DEBUONO LAUREEN</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340" w:type="dxa"/>
            <w:vAlign w:val="bottom"/>
            <w:tcBorders>
              <w:top w:val="single" w:sz="8" w:color="0000EE"/>
              <w:bottom w:val="single" w:sz="8" w:color="9A9A9A"/>
            </w:tcBorders>
          </w:tcPr>
          <w:p>
            <w:pPr>
              <w:spacing w:after="0"/>
              <w:rPr>
                <w:sz w:val="17"/>
                <w:szCs w:val="17"/>
                <w:color w:val="auto"/>
              </w:rPr>
            </w:pPr>
          </w:p>
        </w:tc>
        <w:tc>
          <w:tcPr>
            <w:tcW w:w="4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07/29/2021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Rani Therapeutics Holdings,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RANI</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377"/>
        <w:spacing w:after="0" w:line="331" w:lineRule="auto"/>
        <w:rPr>
          <w:sz w:val="20"/>
          <w:szCs w:val="20"/>
          <w:color w:val="auto"/>
        </w:rPr>
      </w:pPr>
      <w:r>
        <w:rPr>
          <w:rFonts w:ascii="Arial" w:cs="Arial" w:eastAsia="Arial" w:hAnsi="Arial"/>
          <w:sz w:val="20"/>
          <w:szCs w:val="20"/>
          <w:color w:val="0000FF"/>
        </w:rPr>
        <w:t>C/O RANI THERAPEUTICS LLC 2051 RINGWOOD AVE.</w:t>
      </w:r>
    </w:p>
    <w:p>
      <w:pPr>
        <w:spacing w:after="0" w:line="230"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5"/>
                <w:szCs w:val="15"/>
                <w:color w:val="auto"/>
              </w:rPr>
            </w:pPr>
          </w:p>
        </w:tc>
      </w:tr>
      <w:tr>
        <w:trPr>
          <w:trHeight w:val="269"/>
        </w:trPr>
        <w:tc>
          <w:tcPr>
            <w:tcW w:w="1700" w:type="dxa"/>
            <w:vAlign w:val="bottom"/>
          </w:tcPr>
          <w:p>
            <w:pPr>
              <w:ind w:left="40"/>
              <w:spacing w:after="0"/>
              <w:rPr>
                <w:sz w:val="20"/>
                <w:szCs w:val="20"/>
                <w:color w:val="auto"/>
              </w:rPr>
            </w:pPr>
            <w:r>
              <w:rPr>
                <w:rFonts w:ascii="Arial" w:cs="Arial" w:eastAsia="Arial" w:hAnsi="Arial"/>
                <w:sz w:val="20"/>
                <w:szCs w:val="20"/>
                <w:color w:val="0000FF"/>
              </w:rPr>
              <w:t>SAN JOSE  CA</w:t>
            </w:r>
          </w:p>
        </w:tc>
        <w:tc>
          <w:tcPr>
            <w:tcW w:w="880" w:type="dxa"/>
            <w:vAlign w:val="bottom"/>
          </w:tcPr>
          <w:p>
            <w:pPr>
              <w:jc w:val="right"/>
              <w:spacing w:after="0"/>
              <w:rPr>
                <w:sz w:val="20"/>
                <w:szCs w:val="20"/>
                <w:color w:val="auto"/>
              </w:rPr>
            </w:pPr>
            <w:r>
              <w:rPr>
                <w:rFonts w:ascii="Arial" w:cs="Arial" w:eastAsia="Arial" w:hAnsi="Arial"/>
                <w:sz w:val="20"/>
                <w:szCs w:val="20"/>
                <w:color w:val="0000FF"/>
              </w:rPr>
              <w:t>95131</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6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86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tcPr>
          <w:p>
            <w:pPr>
              <w:ind w:left="140"/>
              <w:spacing w:after="0" w:line="161"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80" w:type="dxa"/>
            <w:vAlign w:val="bottom"/>
          </w:tcPr>
          <w:p>
            <w:pPr>
              <w:spacing w:after="0"/>
              <w:rPr>
                <w:sz w:val="14"/>
                <w:szCs w:val="14"/>
                <w:color w:val="auto"/>
              </w:rPr>
            </w:pPr>
          </w:p>
        </w:tc>
        <w:tc>
          <w:tcPr>
            <w:tcW w:w="86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8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60" w:type="dxa"/>
            <w:vAlign w:val="bottom"/>
          </w:tcPr>
          <w:p>
            <w:pPr>
              <w:ind w:left="14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0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3020" w:type="dxa"/>
            <w:vAlign w:val="bottom"/>
            <w:vMerge w:val="restart"/>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(1)</w:t>
            </w:r>
          </w:p>
        </w:tc>
        <w:tc>
          <w:tcPr>
            <w:tcW w:w="880" w:type="dxa"/>
            <w:vAlign w:val="bottom"/>
            <w:vMerge w:val="restart"/>
          </w:tcPr>
          <w:p>
            <w:pPr>
              <w:jc w:val="right"/>
              <w:ind w:right="25"/>
              <w:spacing w:after="0"/>
              <w:rPr>
                <w:sz w:val="20"/>
                <w:szCs w:val="20"/>
                <w:color w:val="auto"/>
              </w:rPr>
            </w:pPr>
            <w:r>
              <w:rPr>
                <w:rFonts w:ascii="Arial" w:cs="Arial" w:eastAsia="Arial" w:hAnsi="Arial"/>
                <w:sz w:val="15"/>
                <w:szCs w:val="15"/>
                <w:color w:val="0000FF"/>
              </w:rPr>
              <w:t>07/28/2031</w:t>
            </w:r>
          </w:p>
        </w:tc>
        <w:tc>
          <w:tcPr>
            <w:tcW w:w="1780" w:type="dxa"/>
            <w:vAlign w:val="bottom"/>
          </w:tcPr>
          <w:p>
            <w:pPr>
              <w:ind w:left="240"/>
              <w:spacing w:after="0"/>
              <w:rPr>
                <w:sz w:val="20"/>
                <w:szCs w:val="20"/>
                <w:color w:val="auto"/>
              </w:rPr>
            </w:pPr>
            <w:r>
              <w:rPr>
                <w:rFonts w:ascii="Arial" w:cs="Arial" w:eastAsia="Arial" w:hAnsi="Arial"/>
                <w:sz w:val="20"/>
                <w:szCs w:val="20"/>
                <w:color w:val="0000FF"/>
                <w:w w:val="97"/>
              </w:rPr>
              <w:t>Class A Common</w:t>
            </w:r>
          </w:p>
        </w:tc>
        <w:tc>
          <w:tcPr>
            <w:tcW w:w="860" w:type="dxa"/>
            <w:vAlign w:val="bottom"/>
            <w:vMerge w:val="restart"/>
          </w:tcPr>
          <w:p>
            <w:pPr>
              <w:ind w:left="160"/>
              <w:spacing w:after="0"/>
              <w:rPr>
                <w:sz w:val="20"/>
                <w:szCs w:val="20"/>
                <w:color w:val="auto"/>
              </w:rPr>
            </w:pPr>
            <w:r>
              <w:rPr>
                <w:rFonts w:ascii="Arial" w:cs="Arial" w:eastAsia="Arial" w:hAnsi="Arial"/>
                <w:sz w:val="20"/>
                <w:szCs w:val="20"/>
                <w:color w:val="0000FF"/>
                <w:w w:val="94"/>
              </w:rPr>
              <w:t>183,703</w:t>
            </w:r>
          </w:p>
        </w:tc>
        <w:tc>
          <w:tcPr>
            <w:tcW w:w="1000" w:type="dxa"/>
            <w:vAlign w:val="bottom"/>
            <w:vMerge w:val="restart"/>
          </w:tcPr>
          <w:p>
            <w:pPr>
              <w:ind w:left="340"/>
              <w:spacing w:after="0"/>
              <w:rPr>
                <w:sz w:val="20"/>
                <w:szCs w:val="20"/>
                <w:color w:val="auto"/>
              </w:rPr>
            </w:pPr>
            <w:r>
              <w:rPr>
                <w:rFonts w:ascii="Arial" w:cs="Arial" w:eastAsia="Arial" w:hAnsi="Arial"/>
                <w:sz w:val="20"/>
                <w:szCs w:val="20"/>
                <w:color w:val="0000FF"/>
              </w:rPr>
              <w:t>6.99</w:t>
            </w:r>
          </w:p>
        </w:tc>
        <w:tc>
          <w:tcPr>
            <w:tcW w:w="92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0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ind w:left="700"/>
              <w:spacing w:after="0"/>
              <w:rPr>
                <w:sz w:val="20"/>
                <w:szCs w:val="20"/>
                <w:color w:val="auto"/>
              </w:rPr>
            </w:pPr>
            <w:r>
              <w:rPr>
                <w:rFonts w:ascii="Arial" w:cs="Arial" w:eastAsia="Arial" w:hAnsi="Arial"/>
                <w:sz w:val="20"/>
                <w:szCs w:val="20"/>
                <w:color w:val="0000FF"/>
              </w:rPr>
              <w:t>Stock</w:t>
            </w:r>
          </w:p>
        </w:tc>
        <w:tc>
          <w:tcPr>
            <w:tcW w:w="86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18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shares subject to the option vest as follows: 1/3rd of the shares of the shares subject to the option vests on April 20, 2022; and 1/36th of the shares subject to the option vest monthly thereafter over the following two years.</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4"/>
          </w:tcPr>
          <w:p>
            <w:pPr>
              <w:spacing w:after="0"/>
              <w:rPr>
                <w:sz w:val="20"/>
                <w:szCs w:val="20"/>
                <w:color w:val="auto"/>
              </w:rPr>
            </w:pPr>
            <w:r>
              <w:rPr>
                <w:rFonts w:ascii="Arial" w:cs="Arial" w:eastAsia="Arial" w:hAnsi="Arial"/>
                <w:sz w:val="20"/>
                <w:szCs w:val="20"/>
                <w:color w:val="0000FF"/>
              </w:rPr>
              <w:t>/s/ Josh Seidenfeld,</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4"/>
          </w:tcPr>
          <w:p>
            <w:pPr>
              <w:spacing w:after="0" w:line="220" w:lineRule="exact"/>
              <w:rPr>
                <w:sz w:val="20"/>
                <w:szCs w:val="20"/>
                <w:color w:val="auto"/>
              </w:rPr>
            </w:pPr>
            <w:r>
              <w:rPr>
                <w:rFonts w:ascii="Arial" w:cs="Arial" w:eastAsia="Arial" w:hAnsi="Arial"/>
                <w:sz w:val="20"/>
                <w:szCs w:val="20"/>
                <w:color w:val="0000FF"/>
              </w:rPr>
              <w:t>Attorney-in-Fact for</w:t>
            </w:r>
          </w:p>
        </w:tc>
        <w:tc>
          <w:tcPr>
            <w:tcW w:w="900" w:type="dxa"/>
            <w:vAlign w:val="bottom"/>
          </w:tcPr>
          <w:p>
            <w:pPr>
              <w:spacing w:after="0" w:line="220" w:lineRule="exact"/>
              <w:rPr>
                <w:sz w:val="20"/>
                <w:szCs w:val="20"/>
                <w:color w:val="auto"/>
              </w:rPr>
            </w:pPr>
            <w:r>
              <w:rPr>
                <w:rFonts w:ascii="Arial" w:cs="Arial" w:eastAsia="Arial" w:hAnsi="Arial"/>
                <w:sz w:val="20"/>
                <w:szCs w:val="20"/>
                <w:color w:val="0000FF"/>
                <w:w w:val="87"/>
              </w:rPr>
              <w:t>07/29/2021</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580" w:type="dxa"/>
            <w:vAlign w:val="bottom"/>
            <w:tcBorders>
              <w:top w:val="single" w:sz="8" w:color="auto"/>
            </w:tcBorders>
            <w:gridSpan w:val="3"/>
          </w:tcPr>
          <w:p>
            <w:pPr>
              <w:spacing w:after="0" w:line="220" w:lineRule="exact"/>
              <w:rPr>
                <w:sz w:val="20"/>
                <w:szCs w:val="20"/>
                <w:color w:val="auto"/>
              </w:rPr>
            </w:pPr>
            <w:r>
              <w:rPr>
                <w:rFonts w:ascii="Arial" w:cs="Arial" w:eastAsia="Arial" w:hAnsi="Arial"/>
                <w:sz w:val="20"/>
                <w:szCs w:val="20"/>
                <w:color w:val="0000FF"/>
                <w:w w:val="96"/>
              </w:rPr>
              <w:t>Laureen DeBuono</w:t>
            </w:r>
          </w:p>
        </w:tc>
        <w:tc>
          <w:tcPr>
            <w:tcW w:w="6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LIMITED POWER OF ATTORNEY FOR</w:t>
      </w:r>
    </w:p>
    <w:p>
      <w:pPr>
        <w:spacing w:after="0" w:line="238" w:lineRule="auto"/>
        <w:rPr>
          <w:sz w:val="20"/>
          <w:szCs w:val="20"/>
          <w:color w:val="auto"/>
        </w:rPr>
      </w:pPr>
      <w:r>
        <w:rPr>
          <w:rFonts w:ascii="Courier New" w:cs="Courier New" w:eastAsia="Courier New" w:hAnsi="Courier New"/>
          <w:sz w:val="20"/>
          <w:szCs w:val="20"/>
          <w:color w:val="auto"/>
        </w:rPr>
        <w:t>SECTION 16 REPORTING OBLIGATIONS</w:t>
      </w:r>
    </w:p>
    <w:p>
      <w:pPr>
        <w:spacing w:after="0" w:line="200" w:lineRule="exact"/>
        <w:rPr>
          <w:sz w:val="20"/>
          <w:szCs w:val="20"/>
          <w:color w:val="auto"/>
        </w:rPr>
      </w:pPr>
    </w:p>
    <w:p>
      <w:pPr>
        <w:spacing w:after="0" w:line="255" w:lineRule="exact"/>
        <w:rPr>
          <w:sz w:val="20"/>
          <w:szCs w:val="20"/>
          <w:color w:val="auto"/>
        </w:rPr>
      </w:pPr>
    </w:p>
    <w:p>
      <w:pPr>
        <w:ind w:right="940" w:firstLine="937"/>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Talat Imran and Svai Sanford of Rani Therapeutics Holdings, Inc. and Josh Seidenfeld and Nguyen X. Nguyen of Cooley LLP, or any of them signing singly, with full power of substitution, the undersigned's true and lawful attorney in fact to:</w:t>
      </w:r>
    </w:p>
    <w:p>
      <w:pPr>
        <w:spacing w:after="0" w:line="232" w:lineRule="exact"/>
        <w:rPr>
          <w:sz w:val="20"/>
          <w:szCs w:val="20"/>
          <w:color w:val="auto"/>
        </w:rPr>
      </w:pPr>
    </w:p>
    <w:p>
      <w:pPr>
        <w:ind w:right="460"/>
        <w:spacing w:after="0" w:line="264" w:lineRule="auto"/>
        <w:tabs>
          <w:tab w:leader="none" w:pos="93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director or beneficial owner of more than 10% of a registered class of securities of Rani Therapeutics Holdings, Inc. (the "Company"), Forms</w:t>
      </w:r>
    </w:p>
    <w:p>
      <w:pPr>
        <w:spacing w:after="0" w:line="2" w:lineRule="exact"/>
        <w:rPr>
          <w:rFonts w:ascii="Courier New" w:cs="Courier New" w:eastAsia="Courier New" w:hAnsi="Courier New"/>
          <w:sz w:val="18"/>
          <w:szCs w:val="18"/>
          <w:color w:val="auto"/>
        </w:rPr>
      </w:pPr>
    </w:p>
    <w:p>
      <w:pPr>
        <w:ind w:right="940"/>
        <w:spacing w:after="0" w:line="26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4 and 5 (including any amendments thereto) in accordance with Section 16(a) of the Securities Exchange Act of 1934, as amended (the "Exchange Act") and the rules thereunder and a Form ID, Uniform Application for Access Codes to File 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EDGAR;</w:t>
      </w:r>
    </w:p>
    <w:p>
      <w:pPr>
        <w:spacing w:after="0" w:line="230" w:lineRule="exact"/>
        <w:rPr>
          <w:rFonts w:ascii="Courier New" w:cs="Courier New" w:eastAsia="Courier New" w:hAnsi="Courier New"/>
          <w:sz w:val="18"/>
          <w:szCs w:val="18"/>
          <w:color w:val="auto"/>
        </w:rPr>
      </w:pPr>
    </w:p>
    <w:p>
      <w:pPr>
        <w:ind w:right="700"/>
        <w:spacing w:after="0" w:line="237" w:lineRule="auto"/>
        <w:tabs>
          <w:tab w:leader="none" w:pos="937"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231" w:lineRule="exact"/>
        <w:rPr>
          <w:rFonts w:ascii="Courier New" w:cs="Courier New" w:eastAsia="Courier New" w:hAnsi="Courier New"/>
          <w:sz w:val="20"/>
          <w:szCs w:val="20"/>
          <w:color w:val="auto"/>
        </w:rPr>
      </w:pPr>
    </w:p>
    <w:p>
      <w:pPr>
        <w:ind w:right="820"/>
        <w:spacing w:after="0" w:line="237" w:lineRule="auto"/>
        <w:tabs>
          <w:tab w:leader="none" w:pos="937"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5" w:lineRule="exact"/>
        <w:rPr>
          <w:sz w:val="20"/>
          <w:szCs w:val="20"/>
          <w:color w:val="auto"/>
        </w:rPr>
      </w:pPr>
    </w:p>
    <w:p>
      <w:pPr>
        <w:ind w:right="580" w:firstLine="937"/>
        <w:spacing w:after="0" w:line="267"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w:t>
      </w:r>
    </w:p>
    <w:p>
      <w:pPr>
        <w:spacing w:after="0" w:line="209" w:lineRule="exact"/>
        <w:rPr>
          <w:sz w:val="20"/>
          <w:szCs w:val="20"/>
          <w:color w:val="auto"/>
        </w:rPr>
      </w:pPr>
    </w:p>
    <w:p>
      <w:pPr>
        <w:ind w:right="820"/>
        <w:spacing w:after="0" w:line="236" w:lineRule="auto"/>
        <w:rPr>
          <w:sz w:val="20"/>
          <w:szCs w:val="20"/>
          <w:color w:val="auto"/>
        </w:rPr>
      </w:pPr>
      <w:r>
        <w:rPr>
          <w:rFonts w:ascii="Courier New" w:cs="Courier New" w:eastAsia="Courier New" w:hAnsi="Courier New"/>
          <w:sz w:val="20"/>
          <w:szCs w:val="20"/>
          <w:color w:val="auto"/>
        </w:rPr>
        <w:t>nor is the Company assuming, any of the undersigned's responsibilities to comply with Section 16 of the Exchange Act.</w:t>
      </w:r>
    </w:p>
    <w:p>
      <w:pPr>
        <w:spacing w:after="0" w:line="230" w:lineRule="exact"/>
        <w:rPr>
          <w:sz w:val="20"/>
          <w:szCs w:val="20"/>
          <w:color w:val="auto"/>
        </w:rPr>
      </w:pPr>
    </w:p>
    <w:p>
      <w:pPr>
        <w:ind w:firstLine="937"/>
        <w:spacing w:after="0" w:line="264" w:lineRule="auto"/>
        <w:rPr>
          <w:sz w:val="20"/>
          <w:szCs w:val="20"/>
          <w:color w:val="auto"/>
        </w:rPr>
      </w:pPr>
      <w:r>
        <w:rPr>
          <w:rFonts w:ascii="Courier New" w:cs="Courier New" w:eastAsia="Courier New" w:hAnsi="Courier New"/>
          <w:sz w:val="18"/>
          <w:szCs w:val="18"/>
          <w:color w:val="auto"/>
        </w:rPr>
        <w:t>This Power of Attorney shall remain in full force and effect until the earliest to occur of (a) the undersigned is no longer required to file Forms 3, 4 and 5</w:t>
      </w:r>
    </w:p>
    <w:p>
      <w:pPr>
        <w:spacing w:after="0" w:line="2" w:lineRule="exact"/>
        <w:rPr>
          <w:sz w:val="20"/>
          <w:szCs w:val="20"/>
          <w:color w:val="auto"/>
        </w:rPr>
      </w:pPr>
    </w:p>
    <w:p>
      <w:pPr>
        <w:ind w:right="1040"/>
        <w:spacing w:after="0" w:line="237" w:lineRule="auto"/>
        <w:rPr>
          <w:sz w:val="20"/>
          <w:szCs w:val="20"/>
          <w:color w:val="auto"/>
        </w:rPr>
      </w:pPr>
      <w:r>
        <w:rPr>
          <w:rFonts w:ascii="Courier New" w:cs="Courier New" w:eastAsia="Courier New" w:hAnsi="Courier New"/>
          <w:sz w:val="20"/>
          <w:szCs w:val="20"/>
          <w:color w:val="auto"/>
        </w:rPr>
        <w:t>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232" w:lineRule="exact"/>
        <w:rPr>
          <w:sz w:val="20"/>
          <w:szCs w:val="20"/>
          <w:color w:val="auto"/>
        </w:rPr>
      </w:pPr>
    </w:p>
    <w:p>
      <w:pPr>
        <w:ind w:right="460" w:firstLine="937"/>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17th day of June, 2021.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Laureen DeBuono</w:t>
      </w:r>
    </w:p>
    <w:p>
      <w:pPr>
        <w:spacing w:after="0" w:line="238" w:lineRule="auto"/>
        <w:rPr>
          <w:sz w:val="20"/>
          <w:szCs w:val="20"/>
          <w:color w:val="auto"/>
        </w:rPr>
      </w:pPr>
      <w:r>
        <w:rPr>
          <w:rFonts w:ascii="Courier New" w:cs="Courier New" w:eastAsia="Courier New" w:hAnsi="Courier New"/>
          <w:sz w:val="20"/>
          <w:szCs w:val="20"/>
          <w:color w:val="auto"/>
        </w:rPr>
        <w:t>Laureen DeBuono</w:t>
      </w:r>
    </w:p>
    <w:sectPr>
      <w:pgSz w:w="11900" w:h="16838" w:orient="portrait"/>
      <w:cols w:equalWidth="0" w:num="1">
        <w:col w:w="10180"/>
      </w:cols>
      <w:pgMar w:left="480" w:top="136"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034447" TargetMode="External"/><Relationship Id="rId11"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2021-07-29T20:55:34Z</dcterms:created>
  <dcterms:modified xsi:type="dcterms:W3CDTF">2021-07-29T20:55:34Z</dcterms:modified>
</cp:coreProperties>
</file>