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3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8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4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1"/>
                <w:szCs w:val="21"/>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On March 20, 2024, Rani Therapeutics Holdings, Inc. (the “Company”) issued a press release providing a corporate update and announcing its financial results for the fourth quarter and year ended December 31, 2023. The full text of the press release is furnished as Exhibit 99.1 to this Current Report on Form 8-K and is incorporated herein by reference.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45"/>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Pr>
          <w:p>
            <w:pPr>
              <w:spacing w:after="0"/>
              <w:rPr>
                <w:sz w:val="21"/>
                <w:szCs w:val="21"/>
                <w:color w:val="auto"/>
              </w:rPr>
            </w:pPr>
          </w:p>
        </w:tc>
        <w:tc>
          <w:tcPr>
            <w:tcW w:w="10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76"/>
        </w:trPr>
        <w:tc>
          <w:tcPr>
            <w:tcW w:w="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5"/>
                <w:szCs w:val="15"/>
                <w:color w:val="auto"/>
              </w:rPr>
            </w:pPr>
          </w:p>
        </w:tc>
        <w:tc>
          <w:tcPr>
            <w:tcW w:w="101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Press Release of Rani Therapeutics Holdings, Inc. dated March 20, 2024</w:t>
            </w: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240" w:type="dxa"/>
            <w:vAlign w:val="bottom"/>
            <w:tcBorders>
              <w:right w:val="single" w:sz="8" w:color="0000EE"/>
            </w:tcBorders>
            <w:shd w:val="clear" w:color="auto" w:fill="0000FF"/>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2"/>
        </w:trPr>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March 20,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Svai Sanford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500505" cy="754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050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Reports Fourth Quarter and Full Year 2023 Financial Results; Provides Corporate Update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Announced Positive Topline Results from Phase 1 Study of an Oral Anti-Interleukin 12/23 Antibody (RT-111) -</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Announced Preclinical Pharmacodynamic Data on Transenteric Delivery of GLP-1 Incretin Triagonist -</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Cash runway extended into 2025 -</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Conference call and webcast today at 4:30 p.m. ET / 1:30 p.m. PT -</w:t>
      </w:r>
    </w:p>
    <w:p>
      <w:pPr>
        <w:spacing w:after="0" w:line="16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JOSE, Calif., March 20, 2024 </w:t>
      </w:r>
      <w:r>
        <w:rPr>
          <w:rFonts w:ascii="Times New Roman" w:cs="Times New Roman" w:eastAsia="Times New Roman" w:hAnsi="Times New Roman"/>
          <w:sz w:val="18"/>
          <w:szCs w:val="18"/>
          <w:color w:val="auto"/>
        </w:rPr>
        <w:t>--Rani Therapeutics Holdings, Inc. (“Rani Therapeutics” or “Rani”) (Nasdaq: RANI), a clinical-stage biotherapeutics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focused on the oral delivery of biologics and drugs, today reported financial results for the quarter and full year ended December 31, 2023 and provided a corporate update.</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kicked off 2024 with positive momentum announcing positive topline results from our Phase 1 study for RT-111, which serves as our third successfully completed Phase 1 trial using RaniPill technology,” said Talat Imran, Chief Executive Officer of Rani. “The results of our Phase 1 study for RT-111 provide validation that our platform can transform injectable large molecules into convenient, oral pills. We are committed to our vision of making oral biologics a reality across a wide variety of indications. Looking ahead, we continue development of the RaniPill HC to be ready for potential Phase 1 clinical trials in the second half of the year.”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2023 and Subsequent Highlights:</w:t>
      </w:r>
    </w:p>
    <w:p>
      <w:pPr>
        <w:spacing w:after="0" w:line="117" w:lineRule="exact"/>
        <w:rPr>
          <w:sz w:val="20"/>
          <w:szCs w:val="20"/>
          <w:color w:val="auto"/>
        </w:rPr>
      </w:pPr>
    </w:p>
    <w:p>
      <w:pPr>
        <w:ind w:left="760" w:right="340" w:hanging="378"/>
        <w:spacing w:after="0" w:line="28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Announced Positive Topline Results from Phase 1 Study of an Oral Anti-Interleukin 12/23 Antibody (RT-111). </w:t>
      </w:r>
      <w:r>
        <w:rPr>
          <w:rFonts w:ascii="Times New Roman" w:cs="Times New Roman" w:eastAsia="Times New Roman" w:hAnsi="Times New Roman"/>
          <w:sz w:val="18"/>
          <w:szCs w:val="18"/>
          <w:color w:val="auto"/>
        </w:rPr>
        <w:t>In February 2024, Rani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RT-111 achieved high bioavailability and was well-tolerated, with no serious adverse events in humans, in a Phase 1 study.</w:t>
      </w:r>
    </w:p>
    <w:p>
      <w:pPr>
        <w:spacing w:after="0" w:line="46" w:lineRule="exact"/>
        <w:rPr>
          <w:rFonts w:ascii="Times New Roman" w:cs="Times New Roman" w:eastAsia="Times New Roman" w:hAnsi="Times New Roman"/>
          <w:sz w:val="18"/>
          <w:szCs w:val="18"/>
          <w:color w:val="auto"/>
        </w:rPr>
      </w:pPr>
    </w:p>
    <w:p>
      <w:pPr>
        <w:ind w:left="760" w:hanging="378"/>
        <w:spacing w:after="0" w:line="268"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Announced Preclinical Pharmacodynamic Data on Transenteric Delivery of GLP-1 Incretin Triagonist. </w:t>
      </w:r>
      <w:r>
        <w:rPr>
          <w:rFonts w:ascii="Times New Roman" w:cs="Times New Roman" w:eastAsia="Times New Roman" w:hAnsi="Times New Roman"/>
          <w:sz w:val="18"/>
          <w:szCs w:val="18"/>
          <w:color w:val="auto"/>
        </w:rPr>
        <w:t>In December 2023, Rani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preclinical data demonstrating the transenteric delivery of an incretin triagonist of GLP-1, GIP, glucagon receptors elicits rapid weight loss in animal study. Preclinical data support the potential for the RaniPill platform to enable oral delivery of multiple obesity treatments.</w:t>
      </w:r>
    </w:p>
    <w:p>
      <w:pPr>
        <w:spacing w:after="0" w:line="62" w:lineRule="exact"/>
        <w:rPr>
          <w:rFonts w:ascii="Times New Roman" w:cs="Times New Roman" w:eastAsia="Times New Roman" w:hAnsi="Times New Roman"/>
          <w:sz w:val="18"/>
          <w:szCs w:val="18"/>
          <w:color w:val="auto"/>
        </w:rPr>
      </w:pPr>
    </w:p>
    <w:p>
      <w:pPr>
        <w:ind w:left="760" w:right="80" w:hanging="378"/>
        <w:spacing w:after="0" w:line="257"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Announced Strategic Program Prioritization, Expansion of Manufacturing and Plans to Streamline Business Operations to Support Near-Term Value Drivers and Long-Term Growth of the RaniPill Technology Platform. </w:t>
      </w:r>
      <w:r>
        <w:rPr>
          <w:rFonts w:ascii="Times New Roman" w:cs="Times New Roman" w:eastAsia="Times New Roman" w:hAnsi="Times New Roman"/>
          <w:sz w:val="18"/>
          <w:szCs w:val="18"/>
          <w:color w:val="auto"/>
        </w:rPr>
        <w:t>In November 2023, Rani announced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prioritization of its key development programs, RT-102, RT-111 and the RaniPill HC and expansion of its manufacturing footprint to support increased scale and partnerships, and cost reduction initiatives that align with Rani’s near-term goals. Development of RT-101 was discontinued, while the development of RT-105 and RT-110 programs were paused. In addition, Rani reduced its workforce. Anticipated cost savings are expected to support Rani’s operating plans into 2025.</w:t>
      </w:r>
    </w:p>
    <w:p>
      <w:pPr>
        <w:spacing w:after="0" w:line="74" w:lineRule="exact"/>
        <w:rPr>
          <w:rFonts w:ascii="Times New Roman" w:cs="Times New Roman" w:eastAsia="Times New Roman" w:hAnsi="Times New Roman"/>
          <w:sz w:val="18"/>
          <w:szCs w:val="18"/>
          <w:color w:val="auto"/>
        </w:rPr>
      </w:pPr>
    </w:p>
    <w:p>
      <w:pPr>
        <w:ind w:left="760" w:right="100" w:hanging="378"/>
        <w:spacing w:after="0" w:line="268"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Completed 60-Day, Repeat Oral-Administration GLP Safety Study. </w:t>
      </w:r>
      <w:r>
        <w:rPr>
          <w:rFonts w:ascii="Times New Roman" w:cs="Times New Roman" w:eastAsia="Times New Roman" w:hAnsi="Times New Roman"/>
          <w:sz w:val="18"/>
          <w:szCs w:val="18"/>
          <w:color w:val="auto"/>
        </w:rPr>
        <w:t>In October 2023, Rani announced preclinical data from a 60-day, repeat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oral-administration GLP safety study of the RaniPill capsule in healthy animals. The RaniPill capsule was well-tolerated with no treatment-related adverse events and all animals remained clinically healthy throughout the study.</w:t>
      </w:r>
    </w:p>
    <w:p>
      <w:pPr>
        <w:spacing w:after="0" w:line="62" w:lineRule="exact"/>
        <w:rPr>
          <w:rFonts w:ascii="Times New Roman" w:cs="Times New Roman" w:eastAsia="Times New Roman" w:hAnsi="Times New Roman"/>
          <w:sz w:val="18"/>
          <w:szCs w:val="18"/>
          <w:color w:val="auto"/>
        </w:rPr>
      </w:pPr>
    </w:p>
    <w:p>
      <w:pPr>
        <w:ind w:left="760" w:right="120" w:hanging="378"/>
        <w:spacing w:after="0" w:line="291" w:lineRule="auto"/>
        <w:tabs>
          <w:tab w:leader="none" w:pos="7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Announced Successful Oral Delivery of Humira® (adalimumab) via High-Capacity Pill in Preclinical Study. </w:t>
      </w:r>
      <w:r>
        <w:rPr>
          <w:rFonts w:ascii="Times New Roman" w:cs="Times New Roman" w:eastAsia="Times New Roman" w:hAnsi="Times New Roman"/>
          <w:sz w:val="17"/>
          <w:szCs w:val="17"/>
          <w:color w:val="auto"/>
        </w:rPr>
        <w:t>In October 2023, Rani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announced the successful oral delivery of a monoclonal antibody, Humira® (adalimumab), via its high-capacity capsule, the RaniPill HC, in a preclinical study. The preclinical study tracked the serum concentrations of adalimumab, following the oral administration of the enteric-coated,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line="126" w:lineRule="exact"/>
        <w:rPr>
          <w:sz w:val="20"/>
          <w:szCs w:val="20"/>
          <w:color w:val="auto"/>
        </w:rPr>
      </w:pPr>
    </w:p>
    <w:p>
      <w:pPr>
        <w:ind w:left="760" w:right="100"/>
        <w:spacing w:after="0" w:line="282" w:lineRule="auto"/>
        <w:rPr>
          <w:sz w:val="20"/>
          <w:szCs w:val="20"/>
          <w:color w:val="auto"/>
        </w:rPr>
      </w:pPr>
      <w:r>
        <w:rPr>
          <w:rFonts w:ascii="Times New Roman" w:cs="Times New Roman" w:eastAsia="Times New Roman" w:hAnsi="Times New Roman"/>
          <w:sz w:val="18"/>
          <w:szCs w:val="18"/>
          <w:color w:val="auto"/>
        </w:rPr>
        <w:t>RaniPill HC capsule containing 11mg of Humira® (adalimumab) to four canine models. The RaniPill HC successfully delivered adalimumab in all of the subjects.</w:t>
      </w:r>
    </w:p>
    <w:p>
      <w:pPr>
        <w:spacing w:after="0" w:line="50" w:lineRule="exact"/>
        <w:rPr>
          <w:sz w:val="20"/>
          <w:szCs w:val="20"/>
          <w:color w:val="auto"/>
        </w:rPr>
      </w:pPr>
    </w:p>
    <w:p>
      <w:pPr>
        <w:ind w:left="760" w:right="18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Presented an Abstract on RT-102 at the 2023 Annual Meeting of the American Society for Bone and Mineral Research. </w:t>
      </w:r>
      <w:r>
        <w:rPr>
          <w:rFonts w:ascii="Times New Roman" w:cs="Times New Roman" w:eastAsia="Times New Roman" w:hAnsi="Times New Roman"/>
          <w:sz w:val="18"/>
          <w:szCs w:val="18"/>
          <w:color w:val="auto"/>
        </w:rPr>
        <w:t>The abstract,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presented in October 2023, focused on the safe and reliable delivery of teriparatide with high bioavailability through daily administration of an oral robotic pill (RT-102) in female volunteers.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Near-Term Milestone Expectations:</w:t>
      </w:r>
    </w:p>
    <w:p>
      <w:pPr>
        <w:spacing w:after="0" w:line="121"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RaniPill HC to be ready for potential Phase 1 clinical trials in the second half of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Phase 2 clinical trial of RT-102, a RaniPill capsule containing teriparatide for osteoporosis, in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2023 Financial Results:</w:t>
      </w:r>
    </w:p>
    <w:p>
      <w:pPr>
        <w:spacing w:after="0" w:line="117" w:lineRule="exact"/>
        <w:rPr>
          <w:sz w:val="20"/>
          <w:szCs w:val="20"/>
          <w:color w:val="auto"/>
        </w:rPr>
      </w:pPr>
    </w:p>
    <w:p>
      <w:pPr>
        <w:ind w:left="760" w:right="440" w:hanging="378"/>
        <w:spacing w:after="0" w:line="28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and marketable securities </w:t>
      </w:r>
      <w:r>
        <w:rPr>
          <w:rFonts w:ascii="Times New Roman" w:cs="Times New Roman" w:eastAsia="Times New Roman" w:hAnsi="Times New Roman"/>
          <w:sz w:val="18"/>
          <w:szCs w:val="18"/>
          <w:color w:val="auto"/>
        </w:rPr>
        <w:t>as of December 31, 2023 totaled $48.5 million, compared to $98.5 million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2022.</w:t>
      </w:r>
    </w:p>
    <w:p>
      <w:pPr>
        <w:spacing w:after="0" w:line="46" w:lineRule="exact"/>
        <w:rPr>
          <w:rFonts w:ascii="Times New Roman" w:cs="Times New Roman" w:eastAsia="Times New Roman" w:hAnsi="Times New Roman"/>
          <w:sz w:val="18"/>
          <w:szCs w:val="18"/>
          <w:color w:val="auto"/>
        </w:rPr>
      </w:pPr>
    </w:p>
    <w:p>
      <w:pPr>
        <w:ind w:left="760" w:hanging="378"/>
        <w:spacing w:after="0" w:line="259"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for the three and twelve months ended December 31, 2023 were $7.6 million and $39.6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compared to $10.4 million and $36.6 million for the same periods in 2022, respectively. The year over year increase of $3.0 million was primarily attributed to higher compensation costs of $1.4 million, an increase of $1.2 million in third-party services and an increase of $0.6 million in facilities, materials and supplies expense related to preclinical and clinical development activities, offset by a decrease in other costs of $0.2 million.</w:t>
      </w:r>
    </w:p>
    <w:p>
      <w:pPr>
        <w:spacing w:after="0" w:line="71" w:lineRule="exact"/>
        <w:rPr>
          <w:rFonts w:ascii="Times New Roman" w:cs="Times New Roman" w:eastAsia="Times New Roman" w:hAnsi="Times New Roman"/>
          <w:sz w:val="18"/>
          <w:szCs w:val="18"/>
          <w:color w:val="auto"/>
        </w:rPr>
      </w:pPr>
    </w:p>
    <w:p>
      <w:pPr>
        <w:ind w:left="760" w:right="100" w:hanging="378"/>
        <w:spacing w:after="0" w:line="26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for the three and twelve months ended December 31, 2023 were $5.8 million and $26.5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compared to $7.1 million and $26.8 million for the same periods in 2022, respectively. The year over year decrease of $0.3 million was primarily attributed to lower third-party services of $1.8 million related to support for compliance with public company requirements and lower facilities, material and supplies and other costs of $0.3 million, offset by higher compensation costs of $1.8 million.</w:t>
      </w:r>
    </w:p>
    <w:p>
      <w:pPr>
        <w:spacing w:after="0" w:line="68" w:lineRule="exact"/>
        <w:rPr>
          <w:rFonts w:ascii="Times New Roman" w:cs="Times New Roman" w:eastAsia="Times New Roman" w:hAnsi="Times New Roman"/>
          <w:sz w:val="18"/>
          <w:szCs w:val="18"/>
          <w:color w:val="auto"/>
        </w:rPr>
      </w:pPr>
    </w:p>
    <w:p>
      <w:pPr>
        <w:ind w:left="760" w:hanging="378"/>
        <w:spacing w:after="0" w:line="26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three and twelve months ended December 31, 2023 was $14.1 million and $67.9 million, respectively, compared to $17.3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$63.3 million for the same periods in 2022, respectively, including stock-based compensation expense of $4.5 million for the three months ended December 31, 2023 and $19.0 million for the full year 2023, compared to $4.5 million and $15.8 million for the same periods in 2022,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Rani will host a corresponding conference call and live webcast at 4:30 p.m. ET / 1:30 p.m. PT on March 20, 2024 to discuss the results and provide a business update. Individuals interested in listening to the live conference call may do so by using the webcast link in the “Investors” section of the company’s website at www.ranitherapeutics.com. A webcast replay will be available in the investor relations section on the company’s website for 90 days following the completion of the call.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Rani Therapeutics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Rani Therapeutics is a clinical-stage biotherapeutics company focused on advancing technologies to enable the development of orally administered biologics and drugs. Rani has developed the RaniPill capsule, which is a novel, proprietary and patented platform technology, intended to replace subcutaneous injection or intravenous infusion of biologics and drugs with oral dosing. Rani has successfully conducted several preclinical and clinical studies to evaluate safety, tolerability and bioavailability using RaniPill capsule technology. For more information, visit 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expected initiation of a Phase 2 trial of RT-102 in 2024, the expected readiness of the RaniPill HC for clinical development in the second half of 2024, the ability of expanded manufacturing footprint to support scaling of manufacturing and partnering, the ability to streamline its business operations and to realize the cost-savings contemplated by such streamlining of business operations, reduction in workforce and other initiatives announced by Rani, Rani’s development and advancement of its RaniPill capsule technology, including RaniPill HC, Rani’s advancement of its preclinical and clinical programs and timing of results, the sufficiency of Rani’s cash reserves to support operations into 2025, the timing and extent of its expenses, future financial performance, and Rani’s growth as a company. Because such statements are subject to risks and uncertainties, actual results may differ materially from those expressed or implied by such forward-looking statements. Words such as “expect,” “could,” “anticipate,” “look forward,” “potential,” “intend”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and the other risks described in Rani’s filings with the Securities and Exchange Commission, including Rani’s annual report on Form 10-K for the year ended December 31, 2023 and subsequent filings and reports by Rani.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Trade names, trademarks and service marks of other companies appearing in this press release are the property of their respective owners. Solely for convenience, the trademarks and trade names referred to in this press release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investors@ranitherapeutics.com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media@ranitherapeutics.com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1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r>
        <w:rPr>
          <w:rFonts w:ascii="Times New Roman" w:cs="Times New Roman" w:eastAsia="Times New Roman" w:hAnsi="Times New Roman"/>
          <w:sz w:val="18"/>
          <w:szCs w:val="18"/>
          <w:color w:val="auto"/>
        </w:rPr>
        <w:t> </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50,847</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100,924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57,916</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108,027</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29,149</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32,473</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34,023</w:t>
            </w:r>
          </w:p>
        </w:tc>
        <w:tc>
          <w:tcPr>
            <w:tcW w:w="100" w:type="dxa"/>
            <w:vAlign w:val="bottom"/>
            <w:tcBorders>
              <w:top w:val="single" w:sz="8" w:color="CFF0FC"/>
            </w:tcBorders>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- 20,000 shares authorized; none issued and outstanding as of</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 and December 31, 2022</w:t>
            </w:r>
          </w:p>
        </w:tc>
        <w:tc>
          <w:tcPr>
            <w:tcW w:w="98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A common stock, $0.0001 par value - 800,000 shares authorized; 26,036 and 25,295 issued and</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 and December 31, 2022, respectively</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 $0.0001 par value - 40,000 shares authorized; 24,116 issued and outstanding as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December 31, 2023 and December 31, 2022</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1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C common stock, $0.0001 par value - 20,000 shares authorized; none issued and outstanding as of</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 and December 31, 2022</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(12 )</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(72,889 )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(38,919 )</w:t>
            </w: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stockholders' equity attributable to Rani Therapeutics Holdings, Inc.</w:t>
            </w:r>
          </w:p>
        </w:tc>
        <w:tc>
          <w:tcPr>
            <w:tcW w:w="98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12,866</w:t>
            </w:r>
          </w:p>
        </w:tc>
        <w:tc>
          <w:tcPr>
            <w:tcW w:w="28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36,855</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37,149</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25,443</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9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57,916</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108,027</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12"/>
        </w:trPr>
        <w:tc>
          <w:tcPr>
            <w:tcW w:w="77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-5871210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-5871210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-5245735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-5245735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-3659505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-3659505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-1233805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2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r>
        <w:rPr>
          <w:rFonts w:ascii="Times New Roman" w:cs="Times New Roman" w:eastAsia="Times New Roman" w:hAnsi="Times New Roman"/>
          <w:sz w:val="18"/>
          <w:szCs w:val="18"/>
          <w:color w:val="auto"/>
        </w:rPr>
        <w:t> </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Pr>
          <w:p>
            <w:pPr>
              <w:spacing w:after="0"/>
              <w:rPr>
                <w:sz w:val="16"/>
                <w:szCs w:val="16"/>
                <w:color w:val="auto"/>
              </w:rPr>
            </w:pPr>
          </w:p>
        </w:tc>
        <w:tc>
          <w:tcPr>
            <w:tcW w:w="23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39,624</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17,483</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66,099</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(13,435 )</w:t>
            </w:r>
          </w:p>
        </w:tc>
        <w:tc>
          <w:tcPr>
            <w:tcW w:w="2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(17,483 )</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(66,099 )</w:t>
            </w:r>
          </w:p>
        </w:tc>
        <w:tc>
          <w:tcPr>
            <w:tcW w:w="2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(63,451 )</w:t>
            </w:r>
          </w:p>
        </w:tc>
        <w:tc>
          <w:tcPr>
            <w:tcW w:w="0" w:type="dxa"/>
            <w:vAlign w:val="bottom"/>
          </w:tcPr>
          <w:p>
            <w:pPr>
              <w:spacing w:after="0"/>
              <w:rPr>
                <w:sz w:val="1"/>
                <w:szCs w:val="1"/>
                <w:color w:val="auto"/>
              </w:rPr>
            </w:pP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(1,296 )</w:t>
            </w:r>
          </w:p>
        </w:tc>
        <w:tc>
          <w:tcPr>
            <w:tcW w:w="2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(719 )</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(5,085 )</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(1,071 )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(14,055 )</w:t>
            </w:r>
          </w:p>
        </w:tc>
        <w:tc>
          <w:tcPr>
            <w:tcW w:w="2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(17,384 )</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(67,883 )</w:t>
            </w:r>
          </w:p>
        </w:tc>
        <w:tc>
          <w:tcPr>
            <w:tcW w:w="2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(63,274 )</w:t>
            </w:r>
          </w:p>
        </w:tc>
        <w:tc>
          <w:tcPr>
            <w:tcW w:w="0" w:type="dxa"/>
            <w:vAlign w:val="bottom"/>
          </w:tcPr>
          <w:p>
            <w:pPr>
              <w:spacing w:after="0"/>
              <w:rPr>
                <w:sz w:val="1"/>
                <w:szCs w:val="1"/>
                <w:color w:val="auto"/>
              </w:rPr>
            </w:pPr>
          </w:p>
        </w:tc>
      </w:tr>
      <w:tr>
        <w:trPr>
          <w:trHeight w:val="23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(14,055 )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(17,343 )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(67,883 )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(63,344 )</w:t>
            </w:r>
          </w:p>
        </w:tc>
        <w:tc>
          <w:tcPr>
            <w:tcW w:w="0" w:type="dxa"/>
            <w:vAlign w:val="bottom"/>
          </w:tcPr>
          <w:p>
            <w:pPr>
              <w:spacing w:after="0"/>
              <w:rPr>
                <w:sz w:val="1"/>
                <w:szCs w:val="1"/>
                <w:color w:val="auto"/>
              </w:rPr>
            </w:pPr>
          </w:p>
        </w:tc>
      </w:tr>
      <w:tr>
        <w:trPr>
          <w:trHeight w:val="23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(6,956 )</w:t>
            </w:r>
          </w:p>
        </w:tc>
        <w:tc>
          <w:tcPr>
            <w:tcW w:w="2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(8,556 )</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(33,913 )</w:t>
            </w:r>
          </w:p>
        </w:tc>
        <w:tc>
          <w:tcPr>
            <w:tcW w:w="2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(32,756 )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Rani Therapeutics Holdings, Inc.</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(7,099 )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(8,787 )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(33,970 )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(30,588 )</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Net loss per Class A common share attributable to Rani Therapeutics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(0.27 )</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(0.35 )</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(1.33 )</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07"/>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Holdings, Inc., basic and diluted</w:t>
            </w:r>
          </w:p>
        </w:tc>
        <w:tc>
          <w:tcPr>
            <w:tcW w:w="18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Class A common shares outstanding—basic and diluted</w:t>
            </w:r>
          </w:p>
        </w:tc>
        <w:tc>
          <w:tcPr>
            <w:tcW w:w="18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24,910</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612"/>
        </w:trPr>
        <w:tc>
          <w:tcPr>
            <w:tcW w:w="5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-3128010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-3128010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-3128010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-3128010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-1542415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-1525270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-1542415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-1525270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-1542415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-1525270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-1071245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-1053465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-1071245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-1053465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-1071245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-1053465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2024-03-20T15:21:25Z</dcterms:created>
  <dcterms:modified xsi:type="dcterms:W3CDTF">2024-03-20T15:21:25Z</dcterms:modified>
</cp:coreProperties>
</file>