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4"/>
          <w:szCs w:val="24"/>
          <w:color w:val="auto"/>
        </w:rPr>
      </w:pPr>
    </w:p>
    <w:p>
      <w:pPr>
        <w:spacing w:after="0" w:line="2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333-291394</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160020</wp:posOffset>
            </wp:positionV>
            <wp:extent cx="118300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 to 42,633,337 shares of Class A Common Stock</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 to 125,000,004 Shares of Class A Common Stock Issuable Upon Exercise of Common Stock Warrants</w:t>
      </w:r>
    </w:p>
    <w:p>
      <w:pPr>
        <w:spacing w:after="0" w:line="2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Up to 82,366,667 Shares of Class A Common Stock Issuable Upon Exercise of Pre-Funded Warrants</w:t>
      </w:r>
    </w:p>
    <w:p>
      <w:pPr>
        <w:spacing w:after="0" w:line="22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relates to the proposed resale from time to time by the selling stockholders of:</w:t>
      </w:r>
    </w:p>
    <w:p>
      <w:pPr>
        <w:spacing w:after="0" w:line="131" w:lineRule="exact"/>
        <w:rPr>
          <w:sz w:val="24"/>
          <w:szCs w:val="24"/>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42,633,337 shares of our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125,000,004 shares of our Class A common stock issuable upon the exercise of outstanding common stock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82,366,667 shares of our Class A common stock issuable upon the exercise of outstanding pre-funded warrants.</w:t>
      </w:r>
    </w:p>
    <w:p>
      <w:pPr>
        <w:spacing w:after="0" w:line="225" w:lineRule="exact"/>
        <w:rPr>
          <w:sz w:val="24"/>
          <w:szCs w:val="24"/>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purchased the shares of Class A common stock, common stock warrants and pre-funded warrants from us pursuant to a securities purchase agreement, dated October 16, 2025.</w:t>
      </w:r>
    </w:p>
    <w:p>
      <w:pPr>
        <w:spacing w:after="0" w:line="162" w:lineRule="exact"/>
        <w:rPr>
          <w:sz w:val="24"/>
          <w:szCs w:val="24"/>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not selling any shares of Class A common stock pursuant to this prospectus, and we will not receive any proceeds from the sale of shares of Class A common stock offered by this prospectus by the selling stockholders, except with respect to amounts received by us upon exercise of the common stock warrants and pre-funded warrants.</w:t>
      </w:r>
    </w:p>
    <w:p>
      <w:pPr>
        <w:spacing w:after="0" w:line="176" w:lineRule="exact"/>
        <w:rPr>
          <w:sz w:val="24"/>
          <w:szCs w:val="24"/>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may offer and sell or otherwise dispose of the shares of our Class A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its shares of our Class A common stock.</w:t>
      </w:r>
    </w:p>
    <w:p>
      <w:pPr>
        <w:spacing w:after="0" w:line="183" w:lineRule="exact"/>
        <w:rPr>
          <w:sz w:val="24"/>
          <w:szCs w:val="24"/>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November 6, 2025, the last reported sale price of the Class A common stock was $2.27 per share.</w:t>
      </w:r>
    </w:p>
    <w:p>
      <w:pPr>
        <w:spacing w:after="0" w:line="148" w:lineRule="exact"/>
        <w:rPr>
          <w:sz w:val="24"/>
          <w:szCs w:val="24"/>
          <w:color w:val="auto"/>
        </w:rPr>
      </w:pPr>
    </w:p>
    <w:p>
      <w:pPr>
        <w:ind w:left="120" w:right="2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Class A common stock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 and under similar headings in the other documents that are incorporated by reference into this prospectus.</w:t>
      </w:r>
    </w:p>
    <w:p>
      <w:pPr>
        <w:spacing w:after="0" w:line="176"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3,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8"/>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8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14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400" w:type="dxa"/>
            <w:vAlign w:val="bottom"/>
            <w:gridSpan w:val="10"/>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402590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other than that contained in, or incorporated by reference into, this prospectus. We take no responsibility for, and can provide no assurance as to the reliability of, any other information that others may give you. This prospectus is an offer to sell only the shares of our Class A common stock offered hereby, but only under circumstances and in jurisdictions where it is lawful to do so. You should not assume that the information contained in or incorporated by reference in this prospectus is accurate as of any date other than their respective dates. Our business, financial condition, results of operations and prospects may have changed since those dates.</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“Rani,” “Company,” “we,” “us” and “our” refer to Rani Therapeutics Holdings, Inc., or Rani Holdings, together with its subsidiaries, Rani Therapeutics, LLC, or Rani LLC.</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6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contained in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80" w:lineRule="exact"/>
        <w:rPr>
          <w:sz w:val="20"/>
          <w:szCs w:val="20"/>
          <w:color w:val="auto"/>
        </w:rPr>
      </w:pPr>
    </w:p>
    <w:p>
      <w:pPr>
        <w:jc w:val="both"/>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by the end of 2025.</w:t>
      </w:r>
    </w:p>
    <w:p>
      <w:pPr>
        <w:spacing w:after="0" w:line="189"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On October 16, 2025, we entered into a securities purchase agreement, or the Purchase Agreement, with (i) certain institutional and accredited investors, and (ii) Mir Imran, the Executive Chairman of our board of directors, or collectively, the Purchasers, pursuant to which we agreed to issue and sell in a private placement:</w:t>
      </w:r>
    </w:p>
    <w:p>
      <w:pPr>
        <w:spacing w:after="0" w:line="8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42,633,337 shares Class A common stock;</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to purchase up to 125,000,004 shares of Class A common stock (or pre-funded warrants);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82,366,667 shares of Class A common stock.</w:t>
      </w:r>
    </w:p>
    <w:p>
      <w:pPr>
        <w:spacing w:after="0" w:line="225"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Pursuant to the Purchase Agreement, the purchase price per share of Class A common stock to the Institutional Investors was $0.48 per share; and the purchase price per share of Class A common stock to Mir</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color w:val="auto"/>
        </w:rPr>
        <w:t>Imran was $0.605 per share, which reflects the consolidated closing bid price of our Class A common stock on October 16, 2025, as reported on the Nasdaq Stock Market, plus $0.125 per Common Warrant. The purchase price of the pre-funded warrants to the Purchasers was $0.4799 per pre-funded warrant, which equals the purchase price per share of Class A common stock minus the $0.0001 exercise</w:t>
      </w:r>
    </w:p>
    <w:p>
      <w:pPr>
        <w:spacing w:after="0" w:line="1"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price per pre-funded warrant. We received gross proceeds of approximately $60.3 million from the Private Placement (including conversion of the outstanding debt of $6.0 million), before deducting fees to the placement agents and offering expenses payable by us. The closing of the Private Placement occurred on October 23, 2025, or the Closing Date.</w:t>
      </w:r>
    </w:p>
    <w:p>
      <w:pPr>
        <w:spacing w:after="0" w:line="186"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common stock warrants have an exercise price of $0.48 per share and will become exercisable following the effective date of stockholder approval and have a term of five years following the initial exercise date. The pre-funded warrants are exercisable immediately following the Closing Date, have an unlimited term and an exercise price of $0.0001 per share. Pursuant to the Purchase Agreement, we also agreed to seek approval from our stockholders for the issuance of the shares issuable upon exercise of the common stock warrants within 75 days following the Closing Date.</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 October 16, 2025, we also entered into a registration rights agreement with the Purchasers, or the Registration Rights Agreement, pursuant to which we have agreed to file registration statements under the Securities Act of 1933, as amended, or the Securities Act, with the U.S. Securities and Exchange Commission, or the SEC, covering the resale of (i) the shares of Class A common stock and (ii) the shares of Class A common stock issuable upon exercise of the common stock warrants and pre-funded warrants purchased in connection with the Purchase Agreement no later than 15 days following the Closing Date, or the Filing Deadline, and to use reasonable best efforts to have the registration statement declared effective 45 days after the Closing Date, and in any event no later than 90 days following the Closing Date in the event of a “full review” by the SEC, or the Effectiveness Deadline.</w:t>
      </w:r>
    </w:p>
    <w:p>
      <w:pPr>
        <w:spacing w:after="0" w:line="189"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are only registering pursuant to the registration statement of which this prospectus forms a part (i) the shares of Class A common stock and (ii) the shares of Class A common stock issuable upon exercise of the common stock warrants and pre-funded warrants, that were issued and sold in the Private Placement.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Samsara BioCapital Nomination Right</w:t>
      </w:r>
    </w:p>
    <w:p>
      <w:pPr>
        <w:spacing w:after="0" w:line="121" w:lineRule="exact"/>
        <w:rPr>
          <w:sz w:val="20"/>
          <w:szCs w:val="20"/>
          <w:color w:val="auto"/>
        </w:rPr>
      </w:pPr>
    </w:p>
    <w:p>
      <w:pPr>
        <w:ind w:left="300" w:right="40" w:firstLine="426"/>
        <w:spacing w:after="0" w:line="273" w:lineRule="auto"/>
        <w:rPr>
          <w:sz w:val="20"/>
          <w:szCs w:val="20"/>
          <w:color w:val="auto"/>
        </w:rPr>
      </w:pPr>
      <w:r>
        <w:rPr>
          <w:rFonts w:ascii="Times New Roman" w:cs="Times New Roman" w:eastAsia="Times New Roman" w:hAnsi="Times New Roman"/>
          <w:sz w:val="17"/>
          <w:szCs w:val="17"/>
          <w:color w:val="auto"/>
        </w:rPr>
        <w:t>Pursuant to the Purchase Agreement, for so long as Samsara BioCapital and its affiliates, or collectively, Samsara, beneficially own securities representing at least 25% of the securities issued to it on the Closing Date (including upon exercise of the common stock warrants and pre-funded warrants), Samsara shall have the right, subject to compliance with the applicable rules and regulations of The Nasdaq Stock Market, to designate one member of our board of directors, or the Samsara Board Representative. In connection with this nomination right, we appointed Abraham Bassan as the Samsara Board Representative to our board of directors until the earlier of our next annual meeting of stockholders, the appointment and qualification of his successor, or his death, resignation, or removal and until his successor has been duly elected and qualified, or until his earlier death, resignation or removal. In addition, Mr. Bassan was appointed as chair of the Nominating and Corporate Governance Committee.</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Anomaly Ventures Nomination Right</w:t>
      </w:r>
    </w:p>
    <w:p>
      <w:pPr>
        <w:spacing w:after="0" w:line="121"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for so long as Anomaly Ventures, LLC and its affiliates, or collectively, Anomaly, beneficially own securities representing at least 25% of the securities issued to it on the Closing Date (including upon exercise of the common stock warrants and pre-funded warrants), Anomaly shall have the right, subject to compliance with the applicable rules and regulations of The Nasdaq Stock Market, to designate one member of our board of directors, or the Anomaly Board Representative. In connection with this nomination right, we appointed Vasudev Bailey, Ph.D. as the Anomaly Board Representative to our board of</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directors until the earlier of our next annual meeting of stockholders, the appointment and qualification of his successor, or his death, resignation, or removal and until his successor has been duly elected and qualified, or until his earlier death, resignation or removal. In addition, Dr. Bailey was appointed as chair of the Compensation Committee.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Class A common stock by the selling stockholders in this offering, except with respect to amounts received by us upon exercise of the common stock warrants and pre-funded warrants, to the extent the warrants are exercised for cash. The selling stockholders will receive all of the proceeds from the sale of shares of our Class A common stock hereunder.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 We do not intend to list the common stock warrants or pre-funded warrants on any national securities exchange.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 xml:space="preserve">Rani Holdings was formed as a Delaware corporation in April 2021 for the purpose of facilitating an initial public offering, or the IPO, of its Class A common stock, to facilitate certain organizational transactions, and to operate the business of Rani Therapeutics, LLC, or Rani LLC.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 Our principal offices are located at 2051 Ringwood Ave., San Jose, California 95131 and our telephone number is (408) 457-3700. Our corporate website address is </w:t>
      </w:r>
      <w:r>
        <w:rPr>
          <w:rFonts w:ascii="Times New Roman" w:cs="Times New Roman" w:eastAsia="Times New Roman" w:hAnsi="Times New Roman"/>
          <w:sz w:val="18"/>
          <w:szCs w:val="18"/>
          <w:i w:val="1"/>
          <w:iCs w:val="1"/>
          <w:color w:val="auto"/>
        </w:rPr>
        <w:t>www.ranitherapeutics.com</w:t>
      </w:r>
      <w:r>
        <w:rPr>
          <w:rFonts w:ascii="Times New Roman" w:cs="Times New Roman" w:eastAsia="Times New Roman" w:hAnsi="Times New Roman"/>
          <w:sz w:val="18"/>
          <w:szCs w:val="18"/>
          <w:color w:val="auto"/>
        </w:rPr>
        <w:t>. The contents of our website are not incorporated by reference herein, and any references to our website is intended to be inactive textual references only.</w:t>
      </w:r>
    </w:p>
    <w:p>
      <w:pPr>
        <w:spacing w:after="0" w:line="3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5"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Before deciding whether to invest in our Class A common stock, you should consider carefully the risks and uncertainties described under the heading “Risk Factors” contained in our most recent annual report on Form</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Class A common stock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3" w:lineRule="exact"/>
        <w:rPr>
          <w:sz w:val="20"/>
          <w:szCs w:val="20"/>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focus of our current and future clinical trials in the United States and abroad, and the reporting of data from those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 including our collaboration with Chugai Pharmaceuticals Co. Ltd.;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including by expanding our use of automation;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new applications of the RaniPill capsule;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Nasdaq Global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from the exercise of the common stock warrants or pre-funded warrants, if any;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in greater detail, and incorporate by reference into this prospectus in their entirety, many of these risks under the section titled “Risk Factors” in our most recent annual report on Form 10-K, and in our subsequent quarterly reports on Form 10-Q, as updated by our subsequent filings under the Exchange Act, which are incorporated herein by reference, as may be updated or superseded by the risks and uncertainties described under similar headings in the other documents that are filed after the date hereof and incorporated by reference into this prospectus. Also, these forward-looking statements represent our estimates and assumptions only as of the date of the document containing the applicable statement.</w:t>
      </w:r>
    </w:p>
    <w:p>
      <w:pPr>
        <w:spacing w:after="0" w:line="18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All the shares of our Class A common stock to be sold pursuant to this prospectus will be sold by the selling stockholders. We will not receive any of the proceeds from such sales.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common stock warrants and pre-funded warrants may be exercised for cash or in certain limited circumstances on a net exercise or “cashless” basis. If the common stock warrants and pre-funded warrants are exercised for cash, we will receive approximately $60 million in connection with such exercise. There can be no assurances that any of the common stock warrants and pre-funded warrants will be exercised for cash.</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private placement to purchase LLC interests from Rani LLC. We intend to cause Rani LLC to use the net proceeds from such purchase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described above represents our current intentions based on our present plans and business condition. We cannot predict with certainty all of the particular uses for such proceeds or the actual amounts that we will spend on the uses set forth above. The amounts and timing of our actual expenditures will depend on numerous factors, including the time and cost necessary to conduct our planned clinical trials, the results of our planned clinical trials and other factors described in “Risk Factors” in this prospectus, as well as the amount of cash used in our operations and any unforeseen cash needs.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and we intend to invest the net proceeds that are not used as described above in short-term, investment-grade, interest-bearing instruments.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800,000,000 shares of Class A common stock, par value $0.0001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shares of Class B common stock, par value $0.0001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Class C common stock, par value $0.0001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preferred stock, par value $0.0001 per share.</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 description of the material terms and provisions of our amended and restated certificate of incorporation and amended and restated bylaws affecting the rights of holders of our capital stock is set forth below. The description is intended as a summary, and is qualified in its entirety by reference to our amended and restated certificate of incorporation and our amended and restated bylaws which are incorporated by reference into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Pursuant to the Purchase Agreement, we have agreed to amend our amended and restated certificate of incorporation so that a super-majority of the combined voting power of all shares of Class A common stock and Class B common stock, voting together as a single class would be required for certain future amendments to the amended and restated certificate of incorporation and bylaws.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shares of Class A common stock are subject to redemption or have preemptive rights to purchase additional shares of Class A common stock. Holders of shares of our Class A common stock do not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If we authorize any shares of preferred stock with rights as to dividends or liquidation that are senior to the Class B common stock or the right to more than one vote for each share thereof.</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we have agreed to amend our amended and restated certificate of incorporation so that holders of Class B common stock would be entitled to cast one vote per share, we have also agreed to eliminate a separate Class B common stock vote in the circumstances described in subsection (b) and (c)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liquidation preferences and the number of shares constituting any class or series, which may be greater than the rights of the holders of the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 Pursuant to the Purchase Agreement, we have agreed to amend our amended and restated certificate of incorporation to eliminate the option providing for a classified board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 Pursuant to the Purchase Agreement, we have agreed to amend our amended and restated certificate of incorporation to eliminate the ability of the holders of at least 25% of the voting power of our Class A common stock and Class B common stock, voting together as a single class, to call a special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 Pursuant to the Purchase Agreement, we have agreed to amend our amended and restated certificate of incorporation to eliminate ability of stockholders to act by written consent.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of breach of a fiduciary duty owed by any of our current or former directors, officers, or other employees to us or our stockholders;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governed by the internal affairs doctrine.</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all the above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We have elected not to be subject to or governed by Section 203 of the Delaware General Corporation Law. Pursuant to the Purchase Agreement, we have agreed to amend our amended and restated certificate of incorporation to be subject to Section 203 of the Delaware General Corporation Law.</w:t>
      </w:r>
    </w:p>
    <w:p>
      <w:pPr>
        <w:spacing w:after="0" w:line="14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w:t>
      </w:r>
    </w:p>
    <w:p>
      <w:pPr>
        <w:spacing w:after="0" w:line="85" w:lineRule="exact"/>
        <w:rPr>
          <w:sz w:val="20"/>
          <w:szCs w:val="20"/>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such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by persons who are directors and also officers of such corporation and (B) by employee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stock plans in which employee participants do not have the right to determine confidentially whether shares held subject to the plan will be tendered in a tender or exchange offer); or</w:t>
      </w:r>
    </w:p>
    <w:p>
      <w:pPr>
        <w:spacing w:after="0" w:line="67" w:lineRule="exact"/>
        <w:rPr>
          <w:sz w:val="20"/>
          <w:szCs w:val="20"/>
          <w:color w:val="auto"/>
        </w:rPr>
      </w:pPr>
    </w:p>
    <w:p>
      <w:pPr>
        <w:ind w:left="1080" w:right="2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We do not intend to list the common stock warrants or pre-funded warrants on any national securities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offer and sell, from time to time, any or all of the shares of Class A common stock being offered for resale by this prospectus, which consists of up to:</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42,633,337 shares of Class A common stock issued to the selling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125,000,004 shares of Class A common stock issuable to the selling stockholders upon the exercise of the common stock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82,366,667 shares of Class A common stock issuable to certain of the selling stockholders upon the exercise of the pre-funded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regarding the issuance of these securities, see the section titled “Prospectus Summary—Private Placement.”</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transaction described in this prospectus, the selling stockholders have not had any material relationship with us within the past three years, except for:</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 Imran’s, the Executive Chairman of our board of directors, participation in the Private Placement;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Samsara BioCapital’s Nomination Right (see the section titled “Description of Capital Stock – Samsara BioCapital Board Nomination Right”);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Anomaly Ventures’ Nomination Right (see the section titled “Description of Capital Stock – Anomaly Ventures Board Nomination Right”).</w:t>
      </w:r>
    </w:p>
    <w:p>
      <w:pPr>
        <w:spacing w:after="0" w:line="23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 includes the selling stockholder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Registration Rights Agreement, this prospectus covers the resale of the maximum number of shares of Class A common stock issuable upon exercise of the common stock warrants and pre-funded warrants without regard to any limitations on the exercise of such warrant. Under the terms of the common stock warrants and pre-funded warrants held by the selling stockholders, the selling stockholders may not exercise any such warrant to the extent such exercise would cause such selling stockholder, together with its affiliates and attribution parties, to beneficially own a number of shares of Class A common stock which would exceed 4.99% or 9.99%, as applicable, of our then outstanding shares Class A common stock following such exercise, excluding for purposes of such determination shares of Class A common stock issuable upon exercise of such warrant which have not been exercised. The shares reported under “Beneficial Ownership Prior to This Offering” and “Number of Shares Being Offered” in the table below do not give effect to any such beneficial ownership limitation.</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Class A common stock by the selling stockholders as of October 31, 2025, assuming the full exercise of the warrants held by the selling stockholder on that date, without regard to any limitations on exercises. As of October 31, 2025, we had 121,511,580 shares of capital stock issued and outstanding. The following table also provides the number of shares of Class A common stock that may be sold by the selling stockholder under this prospectus and that the selling stockholder will beneficially own assuming all the shares of Class A common stock that may be offered pursuant to this prospectus are sold. Because the selling stockholder may dispose of all, none or some portion of its shares of Class A common stock, no estimate can be given as to the number of shares of Class A common stock that will be beneficially owned by the selling stockholder upon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termination of this offering. For purposes of the table below, however, we have assumed that after termination of this offering none of the shares of Class A common stock covered by this prospectus will be beneficially owned by the selling stockholder and further assumed that the selling stockholder will not acquire beneficial ownership of any additional securities during the offering. In addition, the selling stockholder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See the section titled “Plan of Distribution.”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Ownership Prior to</w:t>
            </w:r>
          </w:p>
        </w:tc>
        <w:tc>
          <w:tcPr>
            <w:tcW w:w="142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980" w:type="dxa"/>
            <w:vAlign w:val="bottom"/>
            <w:gridSpan w:val="4"/>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62"/>
        </w:trPr>
        <w:tc>
          <w:tcPr>
            <w:tcW w:w="440" w:type="dxa"/>
            <w:vAlign w:val="bottom"/>
            <w:vMerge w:val="restart"/>
          </w:tcPr>
          <w:p>
            <w:pPr>
              <w:spacing w:after="0"/>
              <w:rPr>
                <w:sz w:val="14"/>
                <w:szCs w:val="14"/>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3300" w:type="dxa"/>
            <w:vAlign w:val="bottom"/>
            <w:vMerge w:val="restart"/>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19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After This Offering</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48"/>
        </w:trPr>
        <w:tc>
          <w:tcPr>
            <w:tcW w:w="440" w:type="dxa"/>
            <w:vAlign w:val="bottom"/>
            <w:vMerge w:val="continue"/>
          </w:tcPr>
          <w:p>
            <w:pPr>
              <w:spacing w:after="0"/>
              <w:rPr>
                <w:sz w:val="12"/>
                <w:szCs w:val="12"/>
                <w:color w:val="auto"/>
              </w:rPr>
            </w:pPr>
          </w:p>
        </w:tc>
        <w:tc>
          <w:tcPr>
            <w:tcW w:w="1760" w:type="dxa"/>
            <w:vAlign w:val="bottom"/>
            <w:tcBorders>
              <w:bottom w:val="single" w:sz="8" w:color="auto"/>
            </w:tcBorders>
            <w:gridSpan w:val="2"/>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142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Offered</w:t>
            </w:r>
            <w:r>
              <w:rPr>
                <w:rFonts w:ascii="Times New Roman" w:cs="Times New Roman" w:eastAsia="Times New Roman" w:hAnsi="Times New Roman"/>
                <w:sz w:val="10"/>
                <w:szCs w:val="10"/>
                <w:b w:val="1"/>
                <w:bCs w:val="1"/>
                <w:color w:val="auto"/>
              </w:rPr>
              <w:t>(2)</w:t>
            </w:r>
          </w:p>
        </w:tc>
        <w:tc>
          <w:tcPr>
            <w:tcW w:w="132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Borders>
              <w:top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0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Avenue Venture</w:t>
            </w:r>
            <w:r>
              <w:rPr>
                <w:rFonts w:ascii="Times New Roman" w:cs="Times New Roman" w:eastAsia="Times New Roman" w:hAnsi="Times New Roman"/>
                <w:sz w:val="23"/>
                <w:szCs w:val="23"/>
                <w:color w:val="auto"/>
                <w:vertAlign w:val="superscript"/>
              </w:rPr>
              <w:t>(3)</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25,076,335</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25,000,000</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76,335</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GRATIA HOLDING LTD</w:t>
            </w:r>
            <w:r>
              <w:rPr>
                <w:rFonts w:ascii="Times New Roman" w:cs="Times New Roman" w:eastAsia="Times New Roman" w:hAnsi="Times New Roman"/>
                <w:sz w:val="25"/>
                <w:szCs w:val="25"/>
                <w:color w:val="auto"/>
                <w:vertAlign w:val="superscript"/>
              </w:rPr>
              <w:t>(4)</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3,020,796</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2,847,224</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173,572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Ilya Kravets</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1,041,668</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1,041,668</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Invus</w:t>
            </w:r>
            <w:r>
              <w:rPr>
                <w:rFonts w:ascii="Times New Roman" w:cs="Times New Roman" w:eastAsia="Times New Roman" w:hAnsi="Times New Roman"/>
                <w:sz w:val="25"/>
                <w:szCs w:val="25"/>
                <w:color w:val="auto"/>
                <w:vertAlign w:val="superscript"/>
              </w:rPr>
              <w:t>(6)</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20,833,334</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20,833,334</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Mir Imran</w:t>
            </w:r>
            <w:r>
              <w:rPr>
                <w:rFonts w:ascii="Times New Roman" w:cs="Times New Roman" w:eastAsia="Times New Roman" w:hAnsi="Times New Roman"/>
                <w:sz w:val="25"/>
                <w:szCs w:val="25"/>
                <w:color w:val="auto"/>
                <w:vertAlign w:val="superscript"/>
              </w:rPr>
              <w:t>(7)</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27,093,552</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4,166,668</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22,926,884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RA Capital Healthcare Fund, L.P.</w:t>
            </w:r>
            <w:r>
              <w:rPr>
                <w:rFonts w:ascii="Times New Roman" w:cs="Times New Roman" w:eastAsia="Times New Roman" w:hAnsi="Times New Roman"/>
                <w:sz w:val="25"/>
                <w:szCs w:val="25"/>
                <w:color w:val="auto"/>
                <w:vertAlign w:val="superscript"/>
              </w:rPr>
              <w:t>(8)</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50,000,000</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50,000,000</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Samsara BioCapital</w:t>
            </w:r>
            <w:r>
              <w:rPr>
                <w:rFonts w:ascii="Times New Roman" w:cs="Times New Roman" w:eastAsia="Times New Roman" w:hAnsi="Times New Roman"/>
                <w:sz w:val="25"/>
                <w:szCs w:val="25"/>
                <w:color w:val="auto"/>
                <w:vertAlign w:val="superscript"/>
              </w:rPr>
              <w:t>(9)</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50,000,000</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50,000,000</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Special Situations</w:t>
            </w:r>
            <w:r>
              <w:rPr>
                <w:rFonts w:ascii="Times New Roman" w:cs="Times New Roman" w:eastAsia="Times New Roman" w:hAnsi="Times New Roman"/>
                <w:sz w:val="25"/>
                <w:szCs w:val="25"/>
                <w:color w:val="auto"/>
                <w:vertAlign w:val="superscript"/>
              </w:rPr>
              <w:t>(10)</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37,500,000</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37,500,000</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Stalex Cayman Limited</w:t>
            </w:r>
            <w:r>
              <w:rPr>
                <w:rFonts w:ascii="Times New Roman" w:cs="Times New Roman" w:eastAsia="Times New Roman" w:hAnsi="Times New Roman"/>
                <w:sz w:val="25"/>
                <w:szCs w:val="25"/>
                <w:color w:val="auto"/>
                <w:vertAlign w:val="superscript"/>
              </w:rPr>
              <w:t>(11)</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50,000,000</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50,000,000</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Stuywater Capital LLC</w:t>
            </w:r>
            <w:r>
              <w:rPr>
                <w:rFonts w:ascii="Times New Roman" w:cs="Times New Roman" w:eastAsia="Times New Roman" w:hAnsi="Times New Roman"/>
                <w:sz w:val="25"/>
                <w:szCs w:val="25"/>
                <w:color w:val="auto"/>
                <w:vertAlign w:val="superscript"/>
              </w:rPr>
              <w:t>(12)</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4,166,668</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4,166,668</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UOITO FO AG</w:t>
            </w:r>
            <w:r>
              <w:rPr>
                <w:rFonts w:ascii="Times New Roman" w:cs="Times New Roman" w:eastAsia="Times New Roman" w:hAnsi="Times New Roman"/>
                <w:sz w:val="25"/>
                <w:szCs w:val="25"/>
                <w:color w:val="auto"/>
                <w:vertAlign w:val="superscript"/>
              </w:rPr>
              <w:t>(13)</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2,175,119</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2,013,890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161,229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VEGA IV LIMITED</w:t>
            </w:r>
            <w:r>
              <w:rPr>
                <w:rFonts w:ascii="Times New Roman" w:cs="Times New Roman" w:eastAsia="Times New Roman" w:hAnsi="Times New Roman"/>
                <w:sz w:val="25"/>
                <w:szCs w:val="25"/>
                <w:color w:val="auto"/>
                <w:vertAlign w:val="superscript"/>
              </w:rPr>
              <w:t>(14)</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2,591,785</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2,430,556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161,229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Shares Being Offered</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250,000,008</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each selling stockholder sells the maximum number of shares of our Class A common stock possible in this offering.</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all of the shares of our Class A common stock that the selling stockholders may offer and sell from time to time under this prospectus without giving effect to the beneficial ownership limitation in the common stock warrants and pre-funded warrants.</w:t>
      </w:r>
    </w:p>
    <w:p>
      <w:pPr>
        <w:ind w:left="540" w:hanging="424"/>
        <w:spacing w:after="0" w:line="25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1,466,667 shares of Class A common stock issued in the Private Placement to Avenue Global Dislocation Opportunities Fund, L.P., or Avenue Global; (ii) 1,173,333 shares of Class A common stock issued in the Private Placement to Avenue Venture Opportunities Fund, L.P., or Avenue Venture Opportunities; (iii) 1,760,000 shares of Class A common stock issued in the Private Placement to Avenue Venture Opportunities Fund II, L.P., or Avenue Venture Opportunities II; (iv) 4,166,667 shares of Class A common stock issuable upon exercise of common stock warrants to Avenue Global; (v) 3,333,333 shares of Class A common stock issuable upon exercise of common stock warrants to Avenue Venture Opportunities; (vi) 5,000,000 shares of Class A common stock issuable upon exercise of common stock warrants to Avenue Venture Opportunities II; (vii) 2,700,000 shares of Class A common stock issuable upon exercise of pre-funded warrants to Avenue Global; (viii) 2,160,000 shares of Class A common stock issuable upon exercise of pre-funded warrants to Avenue Venture Opportunities; and (ix) 3,240,000 shares of Class A common stock issuable upon exercise of pre-funded warrants to Avenue Venture Opportunities II. Avenue Capital Management II, L.P., in its capacity as investment manager, trading advisor, and/or general partner, may be deemed the beneficial owner of the shares held by Avenue Global, Avenue Venture Opportunities and Avenue Venture Opportunities II, or collectively, the Avenue Funds. Avenue Capital Management II GenPar, LLC is the general partner of Avenue Capital Management II, L.P. Marc Lasry is the managing member of Avenue Capital Management II GenPar, LLC. Mr. Lasry may be deemed to be the indirect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40"/>
        <w:spacing w:after="0" w:line="224" w:lineRule="auto"/>
        <w:rPr>
          <w:sz w:val="20"/>
          <w:szCs w:val="20"/>
          <w:color w:val="auto"/>
        </w:rPr>
      </w:pPr>
      <w:r>
        <w:rPr>
          <w:rFonts w:ascii="Times New Roman" w:cs="Times New Roman" w:eastAsia="Times New Roman" w:hAnsi="Times New Roman"/>
          <w:sz w:val="18"/>
          <w:szCs w:val="18"/>
          <w:color w:val="auto"/>
        </w:rPr>
        <w:t>beneficial owner of the securities reported by the Avenue Funds by reason of his ability to direct the vote and/or disposition of such securities, and his pecuniary interest in such shares (within the meaning of Rule 16a-1(a)(2) under the Exchange Act) is a fractional interest in such amount. The address of each of the foregoing entities is c/o Avenue Capital Management II, L.P., 11 West 42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9th Floor, New York, NY 10036.</w:t>
      </w:r>
    </w:p>
    <w:p>
      <w:pPr>
        <w:spacing w:after="0" w:line="3" w:lineRule="exact"/>
        <w:rPr>
          <w:sz w:val="20"/>
          <w:szCs w:val="20"/>
          <w:color w:val="auto"/>
        </w:rPr>
      </w:pPr>
    </w:p>
    <w:p>
      <w:pPr>
        <w:ind w:left="540" w:right="8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1,423,612 shares of Class A common stock issued in the Private Placement to GRATIA HOLDING LTD, or GRATIA; (ii) 1,423,612 shares of Class A common stock issuable upon exercise of the common stock warrants to GRATIA; (iii) 161,229 shares of Class A common stock held by Bossa Ventures Group Corp, or BV Group; and (iv) 12,343 shares of Class A common stock held by VH Molll Fund I, LP, or VH Molll Fund. BV Group is equally owned by GRATIA, UOITO FO AG, or UOITO, and VEGA IV LIMITED, or VEGA. GRATIA has the majority ownership of VH Molll Fund. Jorge Moll is the sole owner of GRATIA and holds the voting control and investment discretion over the securities reported herein. The address for GRATIA is 1200 Brickell, Avenue #1220, Miami, Florida 33131.</w:t>
      </w:r>
    </w:p>
    <w:p>
      <w:pPr>
        <w:ind w:left="540" w:right="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520,834 shares of Class A common stock issued in the Private Placement to Ilya Kravets and (ii) 520,834 shares of Class A common stock issuable upon exercise of the common stock warrants to Mr. Kravets. Mr. Kravets holds the sole voting control and investment discretion over the securities and is affiliated with H.C. Wainwright &amp; Co., LLC, a broker-deal and our placement agent for the Private Placement, with a registered address of 430 Park Ave, 3rd Floor, New York, NY 10022.</w:t>
      </w:r>
    </w:p>
    <w:p>
      <w:pPr>
        <w:spacing w:after="0" w:line="1"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1,754,011 shares of Class A common stock issued in the Private Placement to Invus Public Equities, L.P., or Invus PE; (ii) 245,989 shares of Class A common stock issued in the Private Placement to Avicenna Life Sci Master Fund LP, or Avicenna; (iii) 9,135,473 shares of Class A common stock issuable upon exercise of the common stock warrants to Invus PE; (iv) 1,281,194 shares of Class A common stock issuable upon exercise of the common stock warrants to Avicenna; (v) 7,381,462 shares of Class A common stock issuable upon exercise of the pre-funded warrants to Invus PE; and (vi) 1,035,205 shares of Class A common stock issuable upon exercise of the pre-funded warrants to Avicenna. Invus Public Equities Advisors, LLC, or Invus PE Advisors, as the general partner of Invus PE, controls Invus PE and, accordingly, may be deemed to beneficially own the shares directly held by Invus PE. Invus Global Management, LLC, or Global Management, as the managing member of Invus PE Advisors, controls Invus PE Advisors and, accordingly, may be deemed to beneficially own the shares that Invus PE Advisors may be deemed to beneficially own. Siren, L.L.C., or Siren, as the managing member of Global Management, controls Global Management and, accordingly, may be deemed to beneficially own the shares that Global Management may be deemed to beneficially own. Avicenna Life Sci Master GP LLC, or Avicenna GP, as the general partner of Avicenna, controls Avicenna and, accordingly, may be deemed to beneficially own the Shares beneficially held by Avicenna. Ulys, as the managing member of Avicenna GP, controls Avicenna GP and, accordingly, may be deemed to beneficially own the shares that Avicenna GP may be deemed to beneficially own. Mr. Raymond Debbane, as the managing member of Siren and Ulys L.L.C., or Ulys, controls Siren and Ulys and, accordingly, may be deemed to beneficially own the shares that Siren and Ulys may be deemed to beneficially own. The address of Invus Public Equities and its affiliates is 750 Lexington Avenue, 30th Floor, New York, NY 10022.</w:t>
      </w:r>
    </w:p>
    <w:p>
      <w:pPr>
        <w:spacing w:after="0" w:line="2" w:lineRule="exact"/>
        <w:rPr>
          <w:rFonts w:ascii="Times New Roman" w:cs="Times New Roman" w:eastAsia="Times New Roman" w:hAnsi="Times New Roman"/>
          <w:sz w:val="17"/>
          <w:szCs w:val="17"/>
          <w:color w:val="auto"/>
        </w:rPr>
      </w:pPr>
    </w:p>
    <w:p>
      <w:pPr>
        <w:ind w:left="540" w:right="80" w:hanging="424"/>
        <w:spacing w:after="0" w:line="25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2,083,334 shares of Class A common stock issued in the Private Placement to Mir Imran; (ii) 2,083,334 shares of Class A common stock issuable upon exercise of the common stock warrants to Mir Imran; (iii) 192,692 shares of Class A common stock underlying options that are exercisable within 60 days of October 31, 2025; (iv) 13,664 shares of Class A common stock held by InCube Labs, LLC, or ICL; (v) 22,411,124 shares of Class B common stock held by ICL; (vi) 7,694 shares of Class A common stock held by Rani Investment Corporation; (vii) 52,781 shares of Class A common stock held by InCube Ventures II; and (viii) 248,929 shares of Class A common stock issuable upon exchange of Class A common units of Rani Therapeutics, LLC held by InCube Ventures II. Mir Imran is the sole managing member of ICL, which is wholly-owned by Mir Imran and his family. InCube Ventures II is a limited partnership and its general partners are Mir Imran, Andrew Farquharson and Wayne Roe. Andrew Farquharson and Mir Imran are general partners of Rani Investment Corporation. The address of ICL, InCube Ventures II and Rani Investment Corporation is 2051 Ringwood Avenue, San Jose, California 95131.</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53"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8,500,000 shares of Class A common stock issued in the Private Placement; (ii) 25,000,000 shares of Class A common stock issuable upon exercise of the common stock warrants; and (iii) 16,500,000 shares of Class A common stock issuable upon exercise of the pre-funded warrants to RA Capital Healthcare Fund, L.P., or RACHF. RA Capital Management, L.P. is the investment manager for RACHF.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RACHF. RA Capital Management, L.P., RA Capital Management GP, LLC,</w:t>
      </w:r>
    </w:p>
    <w:p>
      <w:pPr>
        <w:spacing w:after="0" w:line="5" w:lineRule="exact"/>
        <w:rPr>
          <w:rFonts w:ascii="Times New Roman" w:cs="Times New Roman" w:eastAsia="Times New Roman" w:hAnsi="Times New Roman"/>
          <w:sz w:val="18"/>
          <w:szCs w:val="18"/>
          <w:color w:val="auto"/>
        </w:rPr>
      </w:pPr>
    </w:p>
    <w:p>
      <w:pPr>
        <w:ind w:left="540" w:right="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Kolchinsky and Mr. Shah disclaim beneficial ownership of such shares, except to the extent of any pecuniary interest therein. The principal business address of the persons and entities listed above is 200 Berkeley Street, 18th Floor, Boston, MA 02116.</w:t>
      </w:r>
    </w:p>
    <w:p>
      <w:pPr>
        <w:ind w:left="540" w:right="2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4,250,000 shares of Class A common stock issued in the in the Private Placement to Samsara BioCapital, LP, or Samsara BioCapital; (ii) 4,250,000 shares of Class A common stock issued in the in the Private Placement to Samsara Opportunity Fund, LP, or Samsara Opportunity; (iii) 12,500,000 shares of Class A common stock issuable upon exercise of the common stock warrants to Samsara BioCapital; (iv) 12,500,000 shares of Class A common stock issuable upon exercise of the common stock warrants to Samsara Opportunity; (v) 8,250,000 shares of Class A common stock issuable upon exercise of the pre-funded warrants to Samsara BioCapital; and (vi) 8,250,000 shares of Class A common stock issuable upon exercise of the pre-funded warrants to Samsara Opportunity. Samsara BioCapital GP, LLC, or Samsara GP, is the sole general partner of Samsara BioCapital. Samsara Opportunity Fund GP, LLC, or Samsara Opportunity GP, is the sole general partner of Samsara Opportunity. Dr. Srinivas Akkaraju is the managing member of Samsara GP and Samsara Opportunity GP. Each of Samsara GP, Samsara Opportunity GP and Dr. Srinivas may be deemed to have voting and investment power over the shares held of record by Samsara LP. The address of the individual and entities referenced in this footnote is 628 Middlefield Road, Palo Alto, California 94301.</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1,145,491 shares of Class A common stock issued in the in the Private Placement to Special Situations Cayman Fund, L.P., or Special Situations Cayman; (ii) 4,054,509 shares of Class A common stock issued in the in the Private Placement to Special Situations Fund III QP, L.P., or Special Situations III; (iii) 1,300,000 shares of Class A common stock issued in the in the Private Placement to Special Situations Life Sciences Fund, L.P., or Special Situations LS; (iv) 3,304,300 shares of Class A common stock issuable upon exercise of the common stock warrants to Special Situations Cayman; (v) 11,695,700 shares of Class A common stock issuable upon exercise of the common stock warrants to Special Situations III; (vi) 3,750,000 shares of Class A common stock issuable upon exercise of the common stock warrants to Special Situations LS; (vii) 2,158,809 shares of Class A common stock issuable upon exercise of the pre-funded warrants to Special Situations Cayman; (viii) 7,641,191 shares of Class A common stock issuable upon exercise of the pre-funded warrants to Special Situations III; and (ix) 2,450,000 shares of Class A common stock issuable upon exercise of the pre-funded warrants to Special Situations LS. AWM Investment Company, Inc., or AWM, is the investment adviser to each of the Special Situations Funds. David Greenhouse and Adam Stettner are the principal owners of AWM. Through their control of AWM,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Special Situations Funds and Messrs. Greenhouse and Stettner is 527 Madison Avenue, Suite 2600, New York, NY 10022.</w:t>
      </w:r>
    </w:p>
    <w:p>
      <w:pPr>
        <w:spacing w:after="0" w:line="5"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4,400,000 shares of Class A common stock issued in the Private Placement to Stalex Cayman Limited, or Stalex; (ii) 25,000,000 shares of Class A common stock issuable upon exercise of the common stock warrants to Stalex; and (iii) 20,600,000 shares of Class A common stock issuable upon exercise of the pre-funded warrants to Stalex. Gunnar Dellner is the sole shareholder of Stalex. The address for Stalex is Panthera Corporate Services Limited, Suite 70702, 60 Nexus Way, KY1-9006, George Town, Cayman Islands.</w:t>
      </w:r>
    </w:p>
    <w:p>
      <w:pPr>
        <w:spacing w:after="0" w:line="1" w:lineRule="exact"/>
        <w:rPr>
          <w:rFonts w:ascii="Times New Roman" w:cs="Times New Roman" w:eastAsia="Times New Roman" w:hAnsi="Times New Roman"/>
          <w:sz w:val="18"/>
          <w:szCs w:val="18"/>
          <w:color w:val="auto"/>
        </w:rPr>
      </w:pPr>
    </w:p>
    <w:p>
      <w:pPr>
        <w:ind w:left="540" w:right="540" w:hanging="424"/>
        <w:spacing w:after="0" w:line="26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2,083,334 shares of Class A common stock issued in the Private Placement to Stuywater Capital LLC, or Stuywater; and (ii) 2,083,334 shares of Class A common stock issuable upon exercise of the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54" w:lineRule="auto"/>
        <w:rPr>
          <w:sz w:val="20"/>
          <w:szCs w:val="20"/>
          <w:color w:val="auto"/>
        </w:rPr>
      </w:pPr>
      <w:r>
        <w:rPr>
          <w:rFonts w:ascii="Times New Roman" w:cs="Times New Roman" w:eastAsia="Times New Roman" w:hAnsi="Times New Roman"/>
          <w:sz w:val="18"/>
          <w:szCs w:val="18"/>
          <w:color w:val="auto"/>
        </w:rPr>
        <w:t>common stock warrants to Stuywater. Noam Rubinstein, is the managing member of Stuywater and holds voting and dispositive power over the securities that are held by Stuywater. As a result, he may be deemed to have beneficial ownership (as determined under Section 13(d) of the Securities Exchange Act of 1934, as amended) of the securities reported herein that are held by Stuywater. Mr. Rubinstein is affiliated with H.C. Wainwright &amp; Co., LLC, a broker-deal and our placement agent for the Private Placement, with a registered address of 430 Park Ave, 3rd Floor, New York, NY 10022.</w:t>
      </w:r>
    </w:p>
    <w:p>
      <w:pPr>
        <w:spacing w:after="0" w:line="3" w:lineRule="exact"/>
        <w:rPr>
          <w:sz w:val="20"/>
          <w:szCs w:val="20"/>
          <w:color w:val="auto"/>
        </w:rPr>
      </w:pPr>
    </w:p>
    <w:p>
      <w:pPr>
        <w:ind w:left="5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1,006,945 shares of Class A common stock issued in the Private Placement to UOITO; (ii) 1,006,945 shares of Class A common stock issuable upon exercise of the common stock warrants to UOITO; and (iii) 161,229 shares of Class A common stock held by BV Group. BV Group is equally owned by GRATIA, UOITO and VEGA. Andre Moll is the sole owner of UOITO and holds the voting control and investment discretion over the securities reported herein. The address for UOITO is Maschinengasse 5, 6330 Cham, Switzerland.</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1,215,278 shares of Class A common stock issued in the Private Placement to VEGA; (ii) 1,215,278 shares of Class A common stock issuable upon exercise of the common stock warrants to VEGA; and (iii) 161,229 shares of Class A common stock held by BV Group. BV Group is equally owned by GRATIA, UOITO and VEGA. Pedro Moll is the sole owner of VEGA and holds the voting control and investment discretion over the securities reported herein. The address for VEGA is 1200 Brickell, Avenue #1220, Miami, Florida 33131.</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320" w:top="455"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shares of Class A common stock covered hereby on The Nasdaq Global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Class A common stock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shares of Class A common stock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the shares of Class A common stock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of Class A common stock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the shares of Class A common stock short and deliver these securities to close out their short positions, or loan or pledge the securities to broker-dealers that in turn may sell these shares of Class A common stock. The selling stockholders may also enter into option or other transactions with broker-dealers or other financial institutions or create one or more derivative securities which require the delivery to such broker-dealer or other financial institution of shares of Class A common stock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shares of Class A common stock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shares of Class A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shares of Class A common stock offered by them will be the purchase price of the shares of Class A common stock less discounts or commissions, if any. Each of the selling stockholders reserves the right to accept and, together with their agents from time to time, to reject, in whole or in part, any proposed purchase of shares of Class A common stock to be made directly or through agents. We will not receive any of the proceeds from this offering. Upon any exercise of the warrants by payment of cash, however, we will receive the exercise price of the warrants.</w:t>
      </w:r>
    </w:p>
    <w:p>
      <w:pPr>
        <w:spacing w:after="0" w:line="183"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We are required to pay certain fees and expenses incurred by us incident to the registration of the shares of Class A common stock. We have agreed to indemnify the selling stockholders against certain losses, claims, damages and liabilities, including liabilities under the Securities Act.</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agreed to keep this prospectus effective until the earlier of (i) the date that all shares covered by this registration statement may be resold by the selling stockholders without registration and without regard to any volume or manner-of-sale limitations by reason of Rule 144, without the requirement for us to be in compliance with the current public information under Rule 144 under the Securities Act or any other rule of similar effect or</w:t>
      </w:r>
    </w:p>
    <w:p>
      <w:pPr>
        <w:spacing w:after="0" w:line="2" w:lineRule="exact"/>
        <w:rPr>
          <w:sz w:val="20"/>
          <w:szCs w:val="20"/>
          <w:color w:val="auto"/>
        </w:rPr>
      </w:pPr>
    </w:p>
    <w:p>
      <w:pPr>
        <w:ind w:left="120" w:right="40" w:hanging="4"/>
        <w:spacing w:after="0" w:line="273" w:lineRule="auto"/>
        <w:tabs>
          <w:tab w:leader="none" w:pos="38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shares of Class A common stock have been sold pursuant to this prospectus or Rule 144 under the Securities Act or any other rule of similar effect. The shares of Class A common stock will be sold only through registered or licensed brokers or dealers if required under applicable state securities laws. In addition, in certain states, the shares of Class A common stock covered hereby may not be sold unless they have been registered or qualified for sale in the applicable state or an exemption from the registration or qualification requirement is available and is complied with.</w:t>
      </w:r>
    </w:p>
    <w:p>
      <w:pPr>
        <w:spacing w:after="0" w:line="17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shares of Class A common stock may not simultaneously engage in market making activities with respect to the Class A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Class A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 our Class A common stock offered by this prospectus.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included in our Annual Report on Form 10-K for the year ended December 31, 2024 (which contains an explanatory paragraph describing conditions that raise substantial doubt about the Company’s ability to continue as a going concern as described in Note 1 to the consolidated financial statements), as set forth in their report, which is incorporated by reference in this prospectus and elsewhere in the registration statement. Our financial statements are incorporated by reference in reliance on Marcum LLP’s report, given on their authority as experts in accounting and auditing.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incorporated in this prospectus by reference to the Annual Report on Form 10-K for the year ended December 31, 2024 have been so incorporated in reliance on the report (which contains an explanatory paragraph describing conditions that raise substantial doubt about the Company’s ability to continue as a going concern as described in Note 1 to the consolidated financial statements) of Ernst &amp; Young LLP, an independent registered public accounting firm, given on the authority of said firm as experts in auditing and accounting.</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https://www.ranitherapeutics.com.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8-K and exhibits filed on such form that are related to such items unless such Form 8-K expressly provides to the contrary):</w:t>
      </w:r>
    </w:p>
    <w:p>
      <w:pPr>
        <w:spacing w:after="0" w:line="9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38">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2025, June 30, 2025 and September 30, 2025 filed with the SEC on </w:t>
      </w:r>
      <w:hyperlink r:id="rId39">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August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Schedule 14A, filed with the SEC on </w:t>
      </w:r>
      <w:hyperlink r:id="rId42">
        <w:r>
          <w:rPr>
            <w:rFonts w:ascii="Times New Roman" w:cs="Times New Roman" w:eastAsia="Times New Roman" w:hAnsi="Times New Roman"/>
            <w:sz w:val="18"/>
            <w:szCs w:val="18"/>
            <w:u w:val="single" w:color="auto"/>
            <w:color w:val="0000EE"/>
          </w:rPr>
          <w:t>April 16,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April 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26, 2025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July 16, 2025</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 xml:space="preserve">October 17, 2025 </w:t>
        </w:r>
      </w:hyperlink>
      <w:hyperlink r:id="rId4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October 27, 2025</w:t>
        </w:r>
      </w:hyperlink>
      <w:hyperlink r:id="rId43">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4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contained in Exhibit 4.2 of our Quarterly Report on Form 10-Q for the quarter ended June 30, 2022 filed with the SEC on </w:t>
      </w:r>
      <w:hyperlink r:id="rId47">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0000EE"/>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0000EE"/>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0000EE"/>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can request a copy of these documents and filings, at no cost, by writing or telephoning us at the following address or telephone number:</w:t>
      </w:r>
    </w:p>
    <w:p>
      <w:pPr>
        <w:spacing w:after="0" w:line="180"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4"/>
    </w:lvl>
  </w:abstractNum>
  <w:abstractNum w:abstractNumId="15">
    <w:nsid w:val="3F2DBA31"/>
    <w:multiLevelType w:val="hybridMultilevel"/>
    <w:lvl w:ilvl="0">
      <w:lvlJc w:val="left"/>
      <w:lvlText w:val="(%1)"/>
      <w:numFmt w:val="decimal"/>
      <w:start w:val="8"/>
    </w:lvl>
  </w:abstractNum>
  <w:abstractNum w:abstractNumId="16">
    <w:nsid w:val="7C83E458"/>
    <w:multiLevelType w:val="hybridMultilevel"/>
    <w:lvl w:ilvl="0">
      <w:lvlJc w:val="left"/>
      <w:lvlText w:val="(%1)"/>
      <w:numFmt w:val="decimal"/>
      <w:start w:val="13"/>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hyperlink" Target="http://www.sec.gov/ix?doc=/Archives/edgar/data/1856725/000095017025047740/rani-20241231.htm" TargetMode="External"/><Relationship Id="rId39" Type="http://schemas.openxmlformats.org/officeDocument/2006/relationships/hyperlink" Target="http://www.sec.gov/ix?doc=/Archives/edgar/data/1856725/000095017025070382/rani-20250331.htm" TargetMode="External"/><Relationship Id="rId40" Type="http://schemas.openxmlformats.org/officeDocument/2006/relationships/hyperlink" Target="http://www.sec.gov/ix?doc=/Archives/edgar/data/1856725/000095017025105045/rani-20250630.htm" TargetMode="External"/><Relationship Id="rId41" Type="http://schemas.openxmlformats.org/officeDocument/2006/relationships/hyperlink" Target="http://www.sec.gov/ix?doc=/Archives/edgar/data/0001856725/000119312525269774/rani-20250930.htm" TargetMode="External"/><Relationship Id="rId42" Type="http://schemas.openxmlformats.org/officeDocument/2006/relationships/hyperlink" Target="http://www.sec.gov/ix?doc=/Archives/edgar/data/1856725/000114036125014078/ny20044394x1_def14a.htm" TargetMode="External"/><Relationship Id="rId43" Type="http://schemas.openxmlformats.org/officeDocument/2006/relationships/hyperlink" Target="http://www.sec.gov/ix?doc=/Archives/edgar/data/1856725/000095017025090384/rani-20250620.htm" TargetMode="External"/><Relationship Id="rId44" Type="http://schemas.openxmlformats.org/officeDocument/2006/relationships/hyperlink" Target="http://www.sec.gov/ix?doc=/Archives/edgar/data/1856725/000119312525159793/d917538d8k.htm" TargetMode="External"/><Relationship Id="rId45" Type="http://schemas.openxmlformats.org/officeDocument/2006/relationships/hyperlink" Target="http://www.sec.gov/ix?doc=/Archives/edgar/data/1856725/000119312525241963/d38236d8k.htm" TargetMode="External"/><Relationship Id="rId46" Type="http://schemas.openxmlformats.org/officeDocument/2006/relationships/hyperlink" Target="http://www.sec.gov/ix?doc=/Archives/edgar/data/1856725/000119312525250614/d935516d8k.htm" TargetMode="External"/><Relationship Id="rId47" Type="http://schemas.openxmlformats.org/officeDocument/2006/relationships/hyperlink" Target="http://www.sec.gov/Archives/edgar/data/1856725/000095017022005088/ran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2025-12-03T15:57:17Z</dcterms:created>
  <dcterms:modified xsi:type="dcterms:W3CDTF">2025-12-03T15:57:17Z</dcterms:modified>
</cp:coreProperties>
</file>