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2051 Ringwood Avenue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Rani Therapeutics Holdings, Inc. (the “Company”) issued a press release providing an update regarding its pipeline and a corporate update. The full text of the press release is attached as Exhibit 99.1 to this Current Report on Form 8-K and is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780" w:type="dxa"/>
            <w:vAlign w:val="bottom"/>
            <w:gridSpan w:val="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500" w:type="dxa"/>
            <w:vAlign w:val="bottom"/>
            <w:tcBorders>
              <w:top w:val="single" w:sz="8" w:color="auto"/>
              <w:bottom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720" w:type="dxa"/>
            <w:vAlign w:val="bottom"/>
            <w:tcBorders>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w w:val="99"/>
              </w:rPr>
              <w:t>Press Release dated October 24, 2022</w:t>
            </w:r>
          </w:p>
        </w:tc>
        <w:tc>
          <w:tcPr>
            <w:tcW w:w="3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340"/>
          </w:cols>
          <w:pgMar w:left="440" w:top="293" w:right="11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Svai Sanford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173990</wp:posOffset>
            </wp:positionV>
            <wp:extent cx="1903095" cy="1140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095"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Announces New RT-111 Development Program and Provides Corporate Update</w:t>
      </w:r>
    </w:p>
    <w:p>
      <w:pPr>
        <w:spacing w:after="0" w:line="227" w:lineRule="exact"/>
        <w:rPr>
          <w:sz w:val="20"/>
          <w:szCs w:val="20"/>
          <w:color w:val="auto"/>
        </w:rPr>
      </w:pPr>
    </w:p>
    <w:p>
      <w:pPr>
        <w:ind w:left="180" w:hanging="96"/>
        <w:spacing w:after="0"/>
        <w:tabs>
          <w:tab w:leader="none" w:pos="1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Rani announces preclinical development of RT-111, a RaniPill GO capsule containing ustekinumab biosimilar for the potential treatment of psoriatic</w:t>
      </w:r>
    </w:p>
    <w:p>
      <w:pPr>
        <w:spacing w:after="0" w:line="29" w:lineRule="exact"/>
        <w:rPr>
          <w:rFonts w:ascii="Times New Roman" w:cs="Times New Roman" w:eastAsia="Times New Roman" w:hAnsi="Times New Roman"/>
          <w:sz w:val="18"/>
          <w:szCs w:val="18"/>
          <w:i w:val="1"/>
          <w:iCs w:val="1"/>
          <w:color w:val="auto"/>
        </w:rPr>
      </w:pPr>
    </w:p>
    <w:p>
      <w:pPr>
        <w:ind w:left="34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arthritis, ulcerative colitis, Crohn’s disease and psoriasis -</w:t>
      </w:r>
    </w:p>
    <w:p>
      <w:pPr>
        <w:spacing w:after="0" w:line="204" w:lineRule="exact"/>
        <w:rPr>
          <w:rFonts w:ascii="Times New Roman" w:cs="Times New Roman" w:eastAsia="Times New Roman" w:hAnsi="Times New Roman"/>
          <w:sz w:val="18"/>
          <w:szCs w:val="18"/>
          <w:i w:val="1"/>
          <w:iCs w:val="1"/>
          <w:color w:val="auto"/>
        </w:rPr>
      </w:pPr>
    </w:p>
    <w:p>
      <w:pPr>
        <w:ind w:left="3180" w:hanging="107"/>
        <w:spacing w:after="0"/>
        <w:tabs>
          <w:tab w:leader="none" w:pos="318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RT-102 Phase 1 repeat-dose topline data anticipated in 4Q 2022 -</w:t>
      </w:r>
    </w:p>
    <w:p>
      <w:pPr>
        <w:spacing w:after="0" w:line="225" w:lineRule="exact"/>
        <w:rPr>
          <w:rFonts w:ascii="Times New Roman" w:cs="Times New Roman" w:eastAsia="Times New Roman" w:hAnsi="Times New Roman"/>
          <w:sz w:val="18"/>
          <w:szCs w:val="18"/>
          <w:i w:val="1"/>
          <w:iCs w:val="1"/>
          <w:color w:val="auto"/>
        </w:rPr>
      </w:pPr>
    </w:p>
    <w:p>
      <w:pPr>
        <w:ind w:left="2380" w:hanging="100"/>
        <w:spacing w:after="0"/>
        <w:tabs>
          <w:tab w:leader="none" w:pos="238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Initiation of in vivo studies with fully-autonomous RaniPill HC anticipated in 4Q 2022 -</w:t>
      </w:r>
    </w:p>
    <w:p>
      <w:pPr>
        <w:spacing w:after="0" w:line="22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SAN JOSE, Calif., October 24, 2022</w:t>
      </w:r>
      <w:r>
        <w:rPr>
          <w:rFonts w:ascii="Times New Roman" w:cs="Times New Roman" w:eastAsia="Times New Roman" w:hAnsi="Times New Roman"/>
          <w:sz w:val="18"/>
          <w:szCs w:val="18"/>
          <w:color w:val="auto"/>
        </w:rPr>
        <w:t>—Rani Therapeutics Holdings, Inc. (“Rani Therapeutics” or “Rani”) (Nasdaq: RANI), a clinical 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company focused on the oral delivery of biologics and drugs, today announced the preclinical development of RT-111, a RaniPill GO capsule containing an ustekinumab biosimilar, as part of a corporate and pipeline update.</w:t>
      </w:r>
    </w:p>
    <w:p>
      <w:pPr>
        <w:spacing w:after="0" w:line="175" w:lineRule="exact"/>
        <w:rPr>
          <w:sz w:val="20"/>
          <w:szCs w:val="20"/>
          <w:color w:val="auto"/>
        </w:rPr>
      </w:pPr>
    </w:p>
    <w:p>
      <w:pPr>
        <w:ind w:right="240"/>
        <w:spacing w:after="0" w:line="223" w:lineRule="auto"/>
        <w:rPr>
          <w:sz w:val="20"/>
          <w:szCs w:val="20"/>
          <w:color w:val="auto"/>
        </w:rPr>
      </w:pPr>
      <w:r>
        <w:rPr>
          <w:rFonts w:ascii="Times New Roman" w:cs="Times New Roman" w:eastAsia="Times New Roman" w:hAnsi="Times New Roman"/>
          <w:sz w:val="17"/>
          <w:szCs w:val="17"/>
          <w:color w:val="auto"/>
        </w:rPr>
        <w:t>Ustekinumab, approved in the United States as STELARA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is used for the treatment of moderate to severe plaque psoriasis, active psoriatic arthritis, moderate to severe Crohn’s disease, and moderate to severe ulcerative colitis, all of which have large unmet medical needs for oral treatment.</w:t>
      </w:r>
    </w:p>
    <w:p>
      <w:pPr>
        <w:spacing w:after="0" w:line="19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“Ustekinumab has helped thousands of patients with inflammatory autoimmune diseases, but today the treatment requires regular long-term injections. Rani is developing RT-111, an orally administered ustekinumab biosimilar, with the goal of reducing the burden of treatment and improving outcomes for patients. We are increasingly excited about the potential of the RaniPill platform to provide patients with oral replacements to current injectable standards of care, and we expect that RT-111 will be the first of many expansions of our pipeline,” said Talat Imran, Chief Executive Officer of Rani.</w:t>
      </w:r>
    </w:p>
    <w:p>
      <w:pPr>
        <w:spacing w:after="0" w:line="1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remainder of 2022, Rani anticipates sharing repeat-dose topline data from Part 2 of its Phase 1 study with RT-102, the RaniPill GO containing a proprietary formulation of human parathyroid hormone (PTH) for the potential treatment of osteoporosis. The RaniPill GO has been developed to deliver payloads up to 3mg with high bioavailability. In addition, Rani intends to conduct in vivo studies with a fully-autonomous RaniPill HC, its high-capacity capsule that is intended to enable delivery of payloads up to 20mg with high bioavailability. Looking further ahead, in 2023 Rani intends to initiate a Phase 2 study with RT-102 and to commence Phase 1 studies with three pipeline molecules.</w:t>
      </w:r>
    </w:p>
    <w:p>
      <w:pPr>
        <w:sectPr>
          <w:pgSz w:w="11900" w:h="16838" w:orient="portrait"/>
          <w:cols w:equalWidth="0" w:num="1">
            <w:col w:w="11020"/>
          </w:cols>
          <w:pgMar w:left="440" w:top="117" w:right="439" w:bottom="1440" w:gutter="0" w:footer="0" w:header="0"/>
        </w:sectPr>
      </w:pPr>
    </w:p>
    <w:bookmarkStart w:id="4" w:name="page5"/>
    <w:bookmarkEnd w:id="4"/>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has developed and clinically tested a drug-agnostic oral delivery platform, the RaniPill capsule, which can deliver any drug, including large molecules such as peptides, proteins, and antibodies. Rani is advancing an internal pipeline of oral therapeutics using the RaniPill technology; and intends to complement these programs with partnering activities to maximize the value of the RaniPill capsule. Rani believes that the RaniPill GO and RaniPill HC could enable delivery of most biologics currently on the market via a convenient, oral daily dose.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Updates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RT-111</w:t>
      </w:r>
    </w:p>
    <w:p>
      <w:pPr>
        <w:spacing w:after="0" w:line="133"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has begun preclinical development with RT-111, a RaniPill GO capsule containing a biosimilar of STELARA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(ustekinumab).</w:t>
      </w:r>
    </w:p>
    <w:p>
      <w:pPr>
        <w:spacing w:after="0" w:line="58" w:lineRule="exact"/>
        <w:rPr>
          <w:rFonts w:ascii="Times New Roman" w:cs="Times New Roman" w:eastAsia="Times New Roman" w:hAnsi="Times New Roman"/>
          <w:sz w:val="18"/>
          <w:szCs w:val="18"/>
          <w:color w:val="auto"/>
        </w:rPr>
      </w:pPr>
    </w:p>
    <w:p>
      <w:pPr>
        <w:ind w:left="960" w:right="60" w:hanging="424"/>
        <w:spacing w:after="0" w:line="229"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STELARA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(ustekinumab) is an interleukin-12 and interleukin-23 antagonist marketed by Janssen Biotech, Inc. with sales of approximately $5.9 billion in the United States and approximately $9.1 billion worldwide in 2021. The latest expiring United States patent for STELARA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(ustekinumab) will expire in September 2023.</w:t>
      </w:r>
    </w:p>
    <w:p>
      <w:pPr>
        <w:spacing w:after="0" w:line="1" w:lineRule="exact"/>
        <w:rPr>
          <w:rFonts w:ascii="Times New Roman" w:cs="Times New Roman" w:eastAsia="Times New Roman" w:hAnsi="Times New Roman"/>
          <w:sz w:val="18"/>
          <w:szCs w:val="18"/>
          <w:color w:val="auto"/>
        </w:rPr>
      </w:pPr>
    </w:p>
    <w:p>
      <w:pPr>
        <w:ind w:left="960" w:right="18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there were estimated to be 7 million patients with psoriasis and 3 million patients with Crohn’s disease or ulcerative colitis in 2021.</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RT-102</w:t>
      </w:r>
    </w:p>
    <w:p>
      <w:pPr>
        <w:spacing w:after="0" w:line="133" w:lineRule="exact"/>
        <w:rPr>
          <w:sz w:val="20"/>
          <w:szCs w:val="20"/>
          <w:color w:val="auto"/>
        </w:rPr>
      </w:pPr>
    </w:p>
    <w:p>
      <w:pPr>
        <w:ind w:left="960" w:right="280" w:hanging="424"/>
        <w:spacing w:after="0" w:line="26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Rani announced positive topline results from Part 1 of its Phase 1 study of RT-102, meeting all of its endpoints while being generally well-tolerated. In the study, RT-102 orally delivered 20µg and 80µg of PTH with 300-400% greater bioavailability than subcutaneous Forteo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(teriparatide) 20µg.</w:t>
      </w:r>
    </w:p>
    <w:p>
      <w:pPr>
        <w:spacing w:after="0" w:line="2" w:lineRule="exact"/>
        <w:rPr>
          <w:rFonts w:ascii="Times New Roman" w:cs="Times New Roman" w:eastAsia="Times New Roman" w:hAnsi="Times New Roman"/>
          <w:sz w:val="18"/>
          <w:szCs w:val="18"/>
          <w:color w:val="auto"/>
        </w:rPr>
      </w:pPr>
    </w:p>
    <w:p>
      <w:pPr>
        <w:ind w:left="960" w:hanging="424"/>
        <w:spacing w:after="0" w:line="258"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anticipates announcing topline data from Part 2 of the Phase 1 study of RT-102, which will be the first repeat-dose data of the RaniPill capsule in humans, in the fourth quarter of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RaniPill HC</w:t>
      </w:r>
    </w:p>
    <w:p>
      <w:pPr>
        <w:spacing w:after="0" w:line="133" w:lineRule="exact"/>
        <w:rPr>
          <w:sz w:val="20"/>
          <w:szCs w:val="20"/>
          <w:color w:val="auto"/>
        </w:rPr>
      </w:pPr>
    </w:p>
    <w:p>
      <w:pPr>
        <w:ind w:left="960" w:right="4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is continuing development of the RaniPill HC, a high-capacity RaniPill capsule capable of delivering drug payloads up to 20mg, 500%-plus higher than the payload capacity of the RaniPill GO.</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intends to conduct in vivo studies with a fully-autonomous RaniPill HC in the fourth quarter of 2022.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Repeat-Dose Studies</w:t>
      </w:r>
    </w:p>
    <w:p>
      <w:pPr>
        <w:spacing w:after="0" w:line="133" w:lineRule="exact"/>
        <w:rPr>
          <w:sz w:val="20"/>
          <w:szCs w:val="20"/>
          <w:color w:val="auto"/>
        </w:rPr>
      </w:pPr>
    </w:p>
    <w:p>
      <w:pPr>
        <w:ind w:left="960" w:right="3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will not be initiating a separate repeat-dose platform study in 2022. Rani incorporated repeat dosing into the design of its Phase 1 study of RT-102 and expects to obtain longer term repeat-dose data in a Phase 2 study of RT-102 planned for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RT-109</w:t>
      </w:r>
    </w:p>
    <w:p>
      <w:pPr>
        <w:spacing w:after="0" w:line="133" w:lineRule="exact"/>
        <w:rPr>
          <w:sz w:val="20"/>
          <w:szCs w:val="20"/>
          <w:color w:val="auto"/>
        </w:rPr>
      </w:pPr>
    </w:p>
    <w:p>
      <w:pPr>
        <w:ind w:left="960" w:right="2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strategic priority review, Rani has decided not to continue active development of RT-109, a RaniPill capsule containing human growth hormone. Rani remains open to partnering opportunities with respect to RT-109, but intends to focus internal efforts on its other pipeline programs.</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Updated Milestone Expectations</w:t>
      </w:r>
    </w:p>
    <w:p>
      <w:pPr>
        <w:spacing w:after="0" w:line="135"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 Phase 1 Part 2 topline repeat-dose data expected in the fourth quarter of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 Investigational New Drug (IND) application, followed by Phase 2 initiation in the second half of 2023.</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three additional Phase 1 studies in 2023 with pipeline molecules - RT-105, RT-110 and RT-111.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RT-105 is the RaniPill containing an adalimumab biosimilar. RT-110 is the RaniPill containing PTH for hypo-parathyroidism.</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Included with this press release, and on the company’s website at www.ranitherapeutics.com/pipeline, is an updated pipeline chart with updated milestone expectations.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Rani Therapeutics is a clinical stage biotherapeutics company focused on advancing technologies to enable the development of orally administered biologics and drugs. Rani has developed the RaniPill capsule, which is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 For more information, visit ranitherapeutics.com.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 Securities Litigation Reform Act of 1995. Such forward-looking statements include statements regarding, among other things, the timing of topline results from Part 2 of Rani’s Phase 1 trial of RT-102, the expected initiation of in vivo studies with a fully-autonomous RaniPill HC, the expected filing of an IND and initiation of a Phase 2 trial of RT-102 in 2023, the expected initiation of three Phase 1 trials of other product candidates in 2023, expected progress with optimizing the formulation of RT-101, expected progress with the RaniPill HC platform, the prospects for expanding Rani’s pipeline, the impact of Rani’s technology on medical treatment including the ability of RaniPill GO and RaniPill HC to deliver biologics currently on the market, Rani’s advancement of its preclinical and clinical programs and timing of results, customer acceptance of the RaniPill capsule technology, the potential benefits of the RaniPill capsule technology, Rani’s ability to attract and retain talent, Rani’s prospects for entering into strategic partnerships or transactions, and Rani’s growth as a company. Because such statements are subject to risks and uncertainties, actual results may differ materially from those expressed or implied by such forward-looking statements. Words such as “may,” “expect,” “could,”</w:t>
      </w:r>
    </w:p>
    <w:p>
      <w:pPr>
        <w:sectPr>
          <w:pgSz w:w="11900" w:h="16838" w:orient="portrait"/>
          <w:cols w:equalWidth="0" w:num="1">
            <w:col w:w="11000"/>
          </w:cols>
          <w:pgMar w:left="440" w:top="266" w:right="45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“anticipate,” “intend,” “look forward,” “progress,” “advance,” “potential,” “intend,” “can,” “enable,” “believe,” “will,” “continue” and similar expressions are 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the impact of the COVID-19 pandemic, and the other risks described in Rani’s filings with the Securities and Exchange Commission.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 xml:space="preserve">Trade names, trademarks and service marks of other companies appearing in this press release are the property of their respective owners. Solely for convenience, the trademarks and trade names referred to in this press release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investors@ranitherapeutics.com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media@ranitherapeutics.com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Rani Therapeutics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2022-10-24T07:33:03Z</dcterms:created>
  <dcterms:modified xsi:type="dcterms:W3CDTF">2022-10-24T07:33:03Z</dcterms:modified>
</cp:coreProperties>
</file>