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Maestas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RANI THERAPEUTICS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Rani Therapeutics Holdings, Inc.</w:t>
              </w:r>
            </w:hyperlink>
            <w:r>
              <w:rPr/>
              <w:t xml:space="preserve"> [ </w:t>
            </w:r>
            <w:r>
              <w:rPr>
                <w:rFonts w:ascii="Times;serif" w:hAnsi="Times;serif"/>
                <w:color w:val="0000FF"/>
                <w:sz w:val="24"/>
                <w:shd w:fill="FFFFFF" w:val="clear"/>
              </w:rPr>
              <w:t>RANI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0.6973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as follows: 25% of the shares subject to the option vests on June 29, 2027; and 1/48th of the shares subject to the option vest monthly thereafter over the remaining three years, subject to the Reporting Person's Continuous Service (as defined in the Company's 2026 Inducement Plan)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Carlos Perez,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1423" TargetMode="External"/><Relationship Id="rId5" Type="http://schemas.openxmlformats.org/officeDocument/2006/relationships/hyperlink" Target="http://www.sec.gov/cgi-bin/browse-edgar?action=getcompany&amp;CIK=0001856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3455</Characters>
  <CharactersWithSpaces>4020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