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2025_form_s-8.htm"/>
      <w:bookmarkStart w:id="1" w:name="ks2025_form_s8"/>
      <w:bookmarkEnd w:id="0"/>
      <w:bookmarkEnd w:id="1"/>
      <w:r>
        <w:rPr>
          <w:rFonts w:ascii="Times New Roman" w:hAnsi="Times New Roman"/>
          <w:b/>
          <w:color w:val="000000"/>
          <w:sz w:val="20"/>
        </w:rPr>
        <w:t>As filed with the U.S. Securities and Exchange Commission on March 31, 2025</w:t>
      </w:r>
    </w:p>
    <w:p>
      <w:pPr>
        <w:pStyle w:val="TextBody"/>
        <w:bidi w:val="0"/>
        <w:jc w:val="center"/>
        <w:rPr/>
      </w:pPr>
      <w:r>
        <w:rPr/>
        <w:t> </w:t>
      </w:r>
    </w:p>
    <w:p>
      <w:pPr>
        <w:pStyle w:val="TextBody"/>
        <w:pBdr>
          <w:bottom w:val="double" w:sz="4" w:space="1" w:color="000000"/>
        </w:pBdr>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S-8</w:t>
      </w:r>
    </w:p>
    <w:p>
      <w:pPr>
        <w:pStyle w:val="TextBody"/>
        <w:bidi w:val="0"/>
        <w:jc w:val="center"/>
        <w:rPr>
          <w:rFonts w:ascii="Times New Roman" w:hAnsi="Times New Roman"/>
          <w:b/>
          <w:color w:val="000000"/>
          <w:sz w:val="32"/>
        </w:rPr>
      </w:pPr>
      <w:r>
        <w:rPr>
          <w:rFonts w:ascii="Times New Roman" w:hAnsi="Times New Roman"/>
          <w:b/>
          <w:color w:val="000000"/>
          <w:sz w:val="32"/>
        </w:rPr>
        <w:t>REGISTRATION STATEMENT</w:t>
      </w:r>
    </w:p>
    <w:p>
      <w:pPr>
        <w:pStyle w:val="TextBody"/>
        <w:bidi w:val="0"/>
        <w:jc w:val="center"/>
        <w:rPr>
          <w:rFonts w:ascii="Times New Roman" w:hAnsi="Times New Roman"/>
          <w:b/>
          <w:i/>
          <w:color w:val="000000"/>
          <w:sz w:val="24"/>
        </w:rPr>
      </w:pPr>
      <w:r>
        <w:rPr>
          <w:rFonts w:ascii="Times New Roman" w:hAnsi="Times New Roman"/>
          <w:b/>
          <w:i/>
          <w:color w:val="000000"/>
          <w:sz w:val="24"/>
        </w:rPr>
        <w:t>UNDER</w:t>
      </w:r>
    </w:p>
    <w:p>
      <w:pPr>
        <w:pStyle w:val="TextBody"/>
        <w:bidi w:val="0"/>
        <w:jc w:val="center"/>
        <w:rPr>
          <w:rFonts w:ascii="Times New Roman" w:hAnsi="Times New Roman"/>
          <w:b/>
          <w:i/>
          <w:color w:val="000000"/>
          <w:sz w:val="24"/>
        </w:rPr>
      </w:pPr>
      <w:r>
        <w:rPr>
          <w:rFonts w:ascii="Times New Roman" w:hAnsi="Times New Roman"/>
          <w:b/>
          <w:i/>
          <w:color w:val="000000"/>
          <w:sz w:val="24"/>
        </w:rPr>
        <w:t>THE SECURITIES ACT OF 1933</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Rani Therapeutics Holdings,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p>
      <w:pPr>
        <w:pStyle w:val="TextBody"/>
        <w:pBdr>
          <w:top w:val="single" w:sz="6" w:space="1" w:color="000000"/>
        </w:pBdr>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2051 Ringwood Avenue</w:t>
      </w:r>
    </w:p>
    <w:p>
      <w:pPr>
        <w:pStyle w:val="TextBody"/>
        <w:bidi w:val="0"/>
        <w:jc w:val="center"/>
        <w:rPr>
          <w:rFonts w:ascii="Times New Roman" w:hAnsi="Times New Roman"/>
          <w:b/>
          <w:color w:val="000000"/>
          <w:sz w:val="20"/>
        </w:rPr>
      </w:pPr>
      <w:r>
        <w:rPr>
          <w:rFonts w:ascii="Times New Roman" w:hAnsi="Times New Roman"/>
          <w:b/>
          <w:color w:val="000000"/>
          <w:sz w:val="20"/>
        </w:rPr>
        <w:t>San Jose, California 95131</w:t>
      </w:r>
    </w:p>
    <w:p>
      <w:pPr>
        <w:pStyle w:val="TextBody"/>
        <w:bidi w:val="0"/>
        <w:jc w:val="center"/>
        <w:rPr>
          <w:rFonts w:ascii="Times New Roman" w:hAnsi="Times New Roman"/>
          <w:color w:val="000000"/>
          <w:sz w:val="20"/>
        </w:rPr>
      </w:pPr>
      <w:r>
        <w:rPr>
          <w:rFonts w:ascii="Times New Roman" w:hAnsi="Times New Roman"/>
          <w:color w:val="000000"/>
          <w:sz w:val="20"/>
        </w:rPr>
        <w:t xml:space="preserve">(Address of Principal Executive Offices) (Zip code)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 2021 Equity Incentive Plan</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 2021 Employee Stock Purchase Plan</w:t>
      </w:r>
    </w:p>
    <w:p>
      <w:pPr>
        <w:pStyle w:val="TextBody"/>
        <w:bidi w:val="0"/>
        <w:jc w:val="center"/>
        <w:rPr>
          <w:rFonts w:ascii="Times New Roman" w:hAnsi="Times New Roman"/>
          <w:color w:val="000000"/>
          <w:sz w:val="20"/>
        </w:rPr>
      </w:pPr>
      <w:r>
        <w:rPr>
          <w:rFonts w:ascii="Times New Roman" w:hAnsi="Times New Roman"/>
          <w:color w:val="000000"/>
          <w:sz w:val="20"/>
        </w:rPr>
        <w:t>(Full titles of the plans)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Talat Imran</w:t>
      </w:r>
    </w:p>
    <w:p>
      <w:pPr>
        <w:pStyle w:val="TextBody"/>
        <w:bidi w:val="0"/>
        <w:jc w:val="center"/>
        <w:rPr>
          <w:rFonts w:ascii="Times New Roman" w:hAnsi="Times New Roman"/>
          <w:b/>
          <w:color w:val="000000"/>
          <w:sz w:val="20"/>
        </w:rPr>
      </w:pPr>
      <w:r>
        <w:rPr>
          <w:rFonts w:ascii="Times New Roman" w:hAnsi="Times New Roman"/>
          <w:b/>
          <w:color w:val="000000"/>
          <w:sz w:val="20"/>
        </w:rPr>
        <w:t>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olor w:val="000000"/>
          <w:sz w:val="20"/>
        </w:rPr>
      </w:pPr>
      <w:r>
        <w:rPr>
          <w:rFonts w:ascii="Times New Roman" w:hAnsi="Times New Roman"/>
          <w:b/>
          <w:color w:val="000000"/>
          <w:sz w:val="20"/>
        </w:rPr>
        <w:t>2051 Ringwood Avenue</w:t>
      </w:r>
    </w:p>
    <w:p>
      <w:pPr>
        <w:pStyle w:val="TextBody"/>
        <w:bidi w:val="0"/>
        <w:jc w:val="center"/>
        <w:rPr>
          <w:rFonts w:ascii="Times New Roman" w:hAnsi="Times New Roman"/>
          <w:b/>
          <w:color w:val="000000"/>
          <w:sz w:val="20"/>
        </w:rPr>
      </w:pPr>
      <w:r>
        <w:rPr>
          <w:rFonts w:ascii="Times New Roman" w:hAnsi="Times New Roman"/>
          <w:b/>
          <w:color w:val="000000"/>
          <w:sz w:val="20"/>
        </w:rPr>
        <w:t>San Jose, California 95131</w:t>
      </w:r>
    </w:p>
    <w:p>
      <w:pPr>
        <w:pStyle w:val="TextBody"/>
        <w:bidi w:val="0"/>
        <w:jc w:val="center"/>
        <w:rPr>
          <w:rFonts w:ascii="Times New Roman" w:hAnsi="Times New Roman"/>
          <w:b/>
          <w:color w:val="000000"/>
          <w:sz w:val="20"/>
        </w:rPr>
      </w:pPr>
      <w:r>
        <w:rPr>
          <w:rFonts w:ascii="Times New Roman" w:hAnsi="Times New Roman"/>
          <w:b/>
          <w:color w:val="000000"/>
          <w:sz w:val="20"/>
        </w:rPr>
        <w:t>(408) 457-3700</w:t>
      </w:r>
    </w:p>
    <w:p>
      <w:pPr>
        <w:pStyle w:val="TextBody"/>
        <w:bidi w:val="0"/>
        <w:jc w:val="center"/>
        <w:rPr>
          <w:rFonts w:ascii="Times New Roman" w:hAnsi="Times New Roman"/>
          <w:b/>
          <w:color w:val="000000"/>
          <w:sz w:val="16"/>
        </w:rPr>
      </w:pPr>
      <w:r>
        <w:rPr>
          <w:rFonts w:ascii="Times New Roman" w:hAnsi="Times New Roman"/>
          <w:b/>
          <w:color w:val="000000"/>
          <w:sz w:val="16"/>
        </w:rPr>
        <w:t>(Name and address of agent for service) (Telephone number, including area code, of agent for service)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i/>
          <w:color w:val="000000"/>
          <w:sz w:val="20"/>
        </w:rPr>
        <w:t>Copies to:</w:t>
      </w:r>
      <w:r>
        <w:rPr>
          <w:rFonts w:ascii="Times New Roman" w:hAnsi="Times New Roman"/>
          <w:color w:val="000000"/>
          <w:sz w:val="20"/>
        </w:rPr>
        <w:t xml:space="preserve">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Josh Seidenfeld</w:t>
            </w:r>
          </w:p>
          <w:p>
            <w:pPr>
              <w:pStyle w:val="TableContents"/>
              <w:bidi w:val="0"/>
              <w:jc w:val="center"/>
              <w:rPr>
                <w:rFonts w:ascii="Times New Roman" w:hAnsi="Times New Roman"/>
                <w:b/>
                <w:color w:val="000000"/>
                <w:sz w:val="20"/>
              </w:rPr>
            </w:pPr>
            <w:r>
              <w:rPr>
                <w:rFonts w:ascii="Times New Roman" w:hAnsi="Times New Roman"/>
                <w:b/>
                <w:color w:val="000000"/>
                <w:sz w:val="20"/>
              </w:rPr>
              <w:t>Cooley LLP</w:t>
            </w:r>
          </w:p>
          <w:p>
            <w:pPr>
              <w:pStyle w:val="TableContents"/>
              <w:bidi w:val="0"/>
              <w:jc w:val="center"/>
              <w:rPr>
                <w:rFonts w:ascii="Times New Roman" w:hAnsi="Times New Roman"/>
                <w:b/>
                <w:color w:val="000000"/>
                <w:sz w:val="20"/>
              </w:rPr>
            </w:pPr>
            <w:r>
              <w:rPr>
                <w:rFonts w:ascii="Times New Roman" w:hAnsi="Times New Roman"/>
                <w:b/>
                <w:color w:val="000000"/>
                <w:sz w:val="20"/>
              </w:rPr>
              <w:t>3175 Hanover Street</w:t>
            </w:r>
          </w:p>
          <w:p>
            <w:pPr>
              <w:pStyle w:val="TableContents"/>
              <w:bidi w:val="0"/>
              <w:jc w:val="center"/>
              <w:rPr>
                <w:rFonts w:ascii="Times New Roman" w:hAnsi="Times New Roman"/>
                <w:b/>
                <w:color w:val="000000"/>
                <w:sz w:val="20"/>
              </w:rPr>
            </w:pPr>
            <w:r>
              <w:rPr>
                <w:rFonts w:ascii="Times New Roman" w:hAnsi="Times New Roman"/>
                <w:b/>
                <w:color w:val="000000"/>
                <w:sz w:val="20"/>
              </w:rPr>
              <w:t>Palo Alto, California 94304</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843-5000</w:t>
            </w:r>
          </w:p>
        </w:tc>
      </w:tr>
    </w:tbl>
    <w:p>
      <w:pPr>
        <w:pStyle w:val="TextBody"/>
        <w:pBdr>
          <w:bottom w:val="single" w:sz="6" w:space="1" w:color="000000"/>
        </w:pBdr>
        <w:bidi w:val="0"/>
        <w:jc w:val="center"/>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27" w:type="dxa"/>
        <w:jc w:val="left"/>
        <w:tblInd w:w="0" w:type="dxa"/>
        <w:tblLayout w:type="fixed"/>
        <w:tblCellMar>
          <w:top w:w="28" w:type="dxa"/>
          <w:left w:w="28" w:type="dxa"/>
          <w:bottom w:w="28" w:type="dxa"/>
          <w:right w:w="28" w:type="dxa"/>
        </w:tblCellMar>
      </w:tblPr>
      <w:tblGrid>
        <w:gridCol w:w="2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Accelerated filer </w:t>
            </w:r>
          </w:p>
        </w:tc>
      </w:tr>
      <w:tr>
        <w:trPr/>
        <w:tc>
          <w:tcPr>
            <w:tcW w:w="2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Non-accelerated filer </w:t>
            </w:r>
          </w:p>
        </w:tc>
        <w:tc>
          <w:tcPr>
            <w:tcW w:w="2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Smaller reporting company </w:t>
            </w:r>
          </w:p>
        </w:tc>
      </w:tr>
      <w:tr>
        <w:trPr/>
        <w:tc>
          <w:tcPr>
            <w:tcW w:w="2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4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EXPLANATORY NOTE AND GENERAL INSTRUCTION E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Registrant is filing this Registration Statement on Form S-8 for the purpose of registering an additional 2,870,091 shares of Class A common stock under the Rani Therapeutics Holdings, Inc. 2021 Equity Incentive Plan and an additional 100,000 shares of Class A common stock under the Rani Therapeutics Holdings, Inc. 2021 Employee Stock Purchase Plan, pursuant to the provisions of each plan which provide for annual automatic increases in the number of shares of Class A common stock reserved for issuance under each respective plan. </w:t>
      </w:r>
    </w:p>
    <w:p>
      <w:pPr>
        <w:pStyle w:val="TextBody"/>
        <w:bidi w:val="0"/>
        <w:spacing w:before="0" w:after="240"/>
        <w:jc w:val="left"/>
        <w:rPr/>
      </w:pPr>
      <w:r>
        <w:rPr>
          <w:rFonts w:ascii="Times New Roman" w:hAnsi="Times New Roman"/>
          <w:color w:val="000000"/>
          <w:sz w:val="20"/>
        </w:rPr>
        <w:t>The Registration Statement is being filed for the purpose of increasing the number of securities of the same class as other securities for which Registration Statements on Form S-8 of the Registrant relating to the same employee benefit plans set forth herein are effective. Pursuant to General Instruction E of Form S-8, this Registration Statement incorporates by reference the contents of the registration statements on Form S-8 relating to the 2021 Equity Incentive Plan and the 2021 Employee Stock Purchase Plan filed by the Registrant with the Securities and Exchange (the “</w:t>
      </w:r>
      <w:r>
        <w:rPr>
          <w:rFonts w:ascii="Times New Roman" w:hAnsi="Times New Roman"/>
          <w:b/>
          <w:color w:val="000000"/>
          <w:sz w:val="20"/>
        </w:rPr>
        <w:t>SEC</w:t>
      </w:r>
      <w:r>
        <w:rPr>
          <w:rFonts w:ascii="Times New Roman" w:hAnsi="Times New Roman"/>
          <w:color w:val="000000"/>
          <w:sz w:val="20"/>
        </w:rPr>
        <w:t xml:space="preserve">”) on </w:t>
      </w:r>
      <w:hyperlink r:id="rId2">
        <w:r>
          <w:rPr>
            <w:rStyle w:val="InternetLink"/>
            <w:rFonts w:ascii="Times New Roman" w:hAnsi="Times New Roman"/>
            <w:color w:val="0000FF"/>
            <w:sz w:val="20"/>
            <w:u w:val="single"/>
          </w:rPr>
          <w:t>August 3, 2021 (File No. 333-2584150)</w:t>
        </w:r>
      </w:hyperlink>
      <w:r>
        <w:rPr>
          <w:rFonts w:ascii="Times New Roman" w:hAnsi="Times New Roman"/>
          <w:color w:val="000000"/>
          <w:sz w:val="20"/>
        </w:rPr>
        <w:t xml:space="preserve">, on </w:t>
      </w:r>
      <w:hyperlink r:id="rId3">
        <w:r>
          <w:rPr>
            <w:rStyle w:val="InternetLink"/>
            <w:rFonts w:ascii="Times New Roman" w:hAnsi="Times New Roman"/>
            <w:color w:val="0000FF"/>
            <w:sz w:val="20"/>
            <w:u w:val="single"/>
          </w:rPr>
          <w:t>March 31, 2022 (File No. 333-264018)</w:t>
        </w:r>
      </w:hyperlink>
      <w:r>
        <w:rPr>
          <w:rFonts w:ascii="Times New Roman" w:hAnsi="Times New Roman"/>
          <w:color w:val="000000"/>
          <w:sz w:val="20"/>
        </w:rPr>
        <w:t xml:space="preserve">, on </w:t>
      </w:r>
      <w:hyperlink r:id="rId4">
        <w:r>
          <w:rPr>
            <w:rStyle w:val="InternetLink"/>
            <w:rFonts w:ascii="Times New Roman" w:hAnsi="Times New Roman"/>
            <w:color w:val="0000FF"/>
            <w:sz w:val="20"/>
            <w:u w:val="single"/>
          </w:rPr>
          <w:t>March 22, 2023 (File No. 333-270747)</w:t>
        </w:r>
      </w:hyperlink>
      <w:r>
        <w:rPr>
          <w:rFonts w:ascii="Times New Roman" w:hAnsi="Times New Roman"/>
          <w:color w:val="000000"/>
          <w:sz w:val="20"/>
        </w:rPr>
        <w:t xml:space="preserve"> and on </w:t>
      </w:r>
      <w:hyperlink r:id="rId5">
        <w:r>
          <w:rPr>
            <w:rStyle w:val="InternetLink"/>
            <w:rFonts w:ascii="Times New Roman" w:hAnsi="Times New Roman"/>
            <w:color w:val="0000FF"/>
            <w:sz w:val="20"/>
            <w:u w:val="single"/>
          </w:rPr>
          <w:t>March 20, 2024 (File No. No. 333-278116)</w:t>
        </w:r>
      </w:hyperlink>
      <w:r>
        <w:rPr>
          <w:rFonts w:ascii="Times New Roman" w:hAnsi="Times New Roman"/>
          <w:color w:val="000000"/>
          <w:sz w:val="20"/>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40"/>
        <w:jc w:val="both"/>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3. Incorporation Of Certain Documents By Reference.</w:t>
      </w:r>
    </w:p>
    <w:p>
      <w:pPr>
        <w:pStyle w:val="TextBody"/>
        <w:bidi w:val="0"/>
        <w:spacing w:before="0" w:after="120"/>
        <w:jc w:val="left"/>
        <w:rPr>
          <w:rFonts w:ascii="Times New Roman" w:hAnsi="Times New Roman"/>
          <w:sz w:val="20"/>
        </w:rPr>
      </w:pPr>
      <w:r>
        <w:rPr>
          <w:rFonts w:ascii="Times New Roman" w:hAnsi="Times New Roman"/>
          <w:color w:val="000000"/>
          <w:sz w:val="20"/>
        </w:rPr>
        <w:t>The following documents filed by Rani Therapeutics Holdings, Inc. (the “</w:t>
      </w:r>
      <w:r>
        <w:rPr>
          <w:rFonts w:ascii="Times New Roman" w:hAnsi="Times New Roman"/>
          <w:b/>
          <w:color w:val="000000"/>
          <w:sz w:val="20"/>
        </w:rPr>
        <w:t>Registrant</w:t>
      </w:r>
      <w:r>
        <w:rPr>
          <w:rFonts w:ascii="Times New Roman" w:hAnsi="Times New Roman"/>
          <w:color w:val="000000"/>
          <w:sz w:val="20"/>
        </w:rPr>
        <w:t>”) with the Commission are incorporated by reference into this Registration Statement: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Registrant’s Annual Report on Form 10-K for the year ended December 31, 2024, filed with the SEC on March 31, 2025; and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left"/>
        <w:rPr/>
      </w:pPr>
      <w:r>
        <w:rPr>
          <w:rFonts w:ascii="Times New Roman" w:hAnsi="Times New Roman"/>
          <w:color w:val="000000"/>
          <w:sz w:val="20"/>
        </w:rPr>
        <w:t xml:space="preserve">The description of the Registrant’s Class A common stock which is contained in a registration statement on </w:t>
      </w:r>
      <w:hyperlink r:id="rId6">
        <w:r>
          <w:rPr>
            <w:rStyle w:val="InternetLink"/>
            <w:rFonts w:ascii="Times New Roman" w:hAnsi="Times New Roman"/>
            <w:color w:val="0000FF"/>
            <w:sz w:val="20"/>
            <w:u w:val="single"/>
          </w:rPr>
          <w:t>Form 8-A</w:t>
        </w:r>
      </w:hyperlink>
      <w:r>
        <w:rPr>
          <w:color w:val="000000"/>
        </w:rPr>
        <w:t xml:space="preserve"> </w:t>
      </w:r>
      <w:r>
        <w:rPr>
          <w:rFonts w:ascii="Times New Roman" w:hAnsi="Times New Roman"/>
          <w:color w:val="000000"/>
          <w:sz w:val="20"/>
        </w:rPr>
        <w:t>filed with the Commission on July 26, 2021 (File No. 001-40672) under Section 12(b) of the Securities Exchange Act of 1934, as amended (the “</w:t>
      </w:r>
      <w:r>
        <w:rPr>
          <w:rFonts w:ascii="Times New Roman" w:hAnsi="Times New Roman"/>
          <w:b/>
          <w:color w:val="000000"/>
          <w:sz w:val="20"/>
        </w:rPr>
        <w:t>Exchange Act</w:t>
      </w:r>
      <w:r>
        <w:rPr>
          <w:color w:val="000000"/>
        </w:rPr>
        <w:t>”</w:t>
      </w:r>
      <w:r>
        <w:rPr>
          <w:rFonts w:ascii="Times New Roman" w:hAnsi="Times New Roman"/>
          <w:color w:val="000000"/>
          <w:sz w:val="20"/>
        </w:rPr>
        <w:t>), including any amendment or report filed for the purpose of updating such description.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other reports and documents subsequently filed with the Commission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jc w:val="both"/>
        <w:rPr>
          <w:rFonts w:ascii="Times New Roman" w:hAnsi="Times New Roman"/>
          <w:b/>
          <w:color w:val="000000"/>
          <w:sz w:val="20"/>
        </w:rPr>
      </w:pPr>
      <w:r>
        <w:rPr>
          <w:rFonts w:ascii="Times New Roman" w:hAnsi="Times New Roman"/>
          <w:b/>
          <w:color w:val="000000"/>
          <w:sz w:val="20"/>
        </w:rPr>
        <w:t>Item 8.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5151"/>
        <w:gridCol w:w="146"/>
        <w:gridCol w:w="796"/>
        <w:gridCol w:w="146"/>
        <w:gridCol w:w="979"/>
        <w:gridCol w:w="146"/>
        <w:gridCol w:w="676"/>
        <w:gridCol w:w="146"/>
        <w:gridCol w:w="1107"/>
      </w:tblGrid>
      <w:tr>
        <w:trPr/>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07" w:type="dxa"/>
            <w:tcBorders/>
            <w:shd w:fill="FFFFFF" w:val="clear"/>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3" w:type="dxa"/>
            <w:gridSpan w:val="5"/>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w:t>
              <w:br/>
              <w:t>Number</w:t>
            </w:r>
          </w:p>
        </w:tc>
        <w:tc>
          <w:tcPr>
            <w:tcW w:w="14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pPr>
            <w:r>
              <w:rPr/>
              <w:t> </w:t>
            </w:r>
          </w:p>
        </w:tc>
        <w:tc>
          <w:tcPr>
            <w:tcW w:w="515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c>
          <w:tcPr>
            <w:tcW w:w="14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Schedule</w:t>
              <w:br/>
              <w:t>Form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Filing Date</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15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18"/>
                  <w:u w:val="single"/>
                </w:rPr>
                <w:t>Amended and Restated Certificate of Incorporation of the Registrant,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333-257809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26, 2021</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15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18"/>
                  <w:u w:val="single"/>
                </w:rPr>
                <w:t>Amended and Restated Bylaws of the Registrant,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333-257809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9, 2021</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15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18"/>
                  <w:u w:val="single"/>
                </w:rPr>
                <w:t>Specimen Class A common stock certificate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333-257809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26, 2021</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5.1*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151" w:type="dxa"/>
            <w:tcBorders/>
            <w:tcMar>
              <w:top w:w="0" w:type="dxa"/>
              <w:left w:w="0" w:type="dxa"/>
              <w:bottom w:w="0" w:type="dxa"/>
              <w:right w:w="0" w:type="dxa"/>
            </w:tcMar>
            <w:vAlign w:val="center"/>
          </w:tcPr>
          <w:p>
            <w:pPr>
              <w:pStyle w:val="TableContents"/>
              <w:bidi w:val="0"/>
              <w:spacing w:before="0" w:after="283"/>
              <w:jc w:val="left"/>
              <w:rPr/>
            </w:pPr>
            <w:hyperlink w:anchor="rani-ex5_1.htm">
              <w:r>
                <w:rPr>
                  <w:rStyle w:val="InternetLink"/>
                  <w:rFonts w:ascii="Times New Roman" w:hAnsi="Times New Roman"/>
                  <w:color w:val="0000FF"/>
                  <w:sz w:val="18"/>
                  <w:u w:val="single"/>
                </w:rPr>
                <w:t xml:space="preserve">Opinion of Cooley </w:t>
              </w:r>
            </w:hyperlink>
            <w:hyperlink w:anchor="rani-ex5_1.htm">
              <w:r>
                <w:rPr>
                  <w:rStyle w:val="InternetLink"/>
                  <w:rFonts w:ascii="Times New Roman" w:hAnsi="Times New Roman"/>
                  <w:smallCaps/>
                  <w:color w:val="0000FF"/>
                  <w:sz w:val="18"/>
                  <w:u w:val="single"/>
                </w:rPr>
                <w:t>LLP.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151" w:type="dxa"/>
            <w:tcBorders/>
            <w:tcMar>
              <w:top w:w="0" w:type="dxa"/>
              <w:left w:w="0" w:type="dxa"/>
              <w:bottom w:w="0" w:type="dxa"/>
              <w:right w:w="0" w:type="dxa"/>
            </w:tcMar>
            <w:vAlign w:val="center"/>
          </w:tcPr>
          <w:p>
            <w:pPr>
              <w:pStyle w:val="TableContents"/>
              <w:bidi w:val="0"/>
              <w:spacing w:before="0" w:after="283"/>
              <w:jc w:val="left"/>
              <w:rPr/>
            </w:pPr>
            <w:hyperlink w:anchor="rani-ex5_1.htm">
              <w:r>
                <w:rPr>
                  <w:rStyle w:val="InternetLink"/>
                  <w:rFonts w:ascii="Times New Roman" w:hAnsi="Times New Roman"/>
                  <w:color w:val="0000FF"/>
                  <w:sz w:val="18"/>
                  <w:u w:val="single"/>
                </w:rPr>
                <w:t>Consent of Cooley LLP (included in Exhibit 5.1).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23.2*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151" w:type="dxa"/>
            <w:tcBorders/>
            <w:tcMar>
              <w:top w:w="0" w:type="dxa"/>
              <w:left w:w="0" w:type="dxa"/>
              <w:bottom w:w="0" w:type="dxa"/>
              <w:right w:w="0" w:type="dxa"/>
            </w:tcMar>
            <w:vAlign w:val="center"/>
          </w:tcPr>
          <w:p>
            <w:pPr>
              <w:pStyle w:val="TableContents"/>
              <w:bidi w:val="0"/>
              <w:spacing w:before="0" w:after="283"/>
              <w:jc w:val="left"/>
              <w:rPr/>
            </w:pPr>
            <w:hyperlink w:anchor="rani-ex23_2.htm">
              <w:r>
                <w:rPr>
                  <w:rStyle w:val="InternetLink"/>
                  <w:rFonts w:ascii="Times New Roman" w:hAnsi="Times New Roman"/>
                  <w:color w:val="0000FF"/>
                  <w:sz w:val="18"/>
                  <w:u w:val="single"/>
                </w:rPr>
                <w:t>Consent of Marcum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23.3*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151" w:type="dxa"/>
            <w:tcBorders/>
            <w:tcMar>
              <w:top w:w="0" w:type="dxa"/>
              <w:left w:w="0" w:type="dxa"/>
              <w:bottom w:w="0" w:type="dxa"/>
              <w:right w:w="0" w:type="dxa"/>
            </w:tcMar>
            <w:vAlign w:val="center"/>
          </w:tcPr>
          <w:p>
            <w:pPr>
              <w:pStyle w:val="TableContents"/>
              <w:bidi w:val="0"/>
              <w:spacing w:before="0" w:after="283"/>
              <w:jc w:val="left"/>
              <w:rPr/>
            </w:pPr>
            <w:hyperlink w:anchor="rani-ex23_3.htm">
              <w:r>
                <w:rPr>
                  <w:rStyle w:val="InternetLink"/>
                  <w:rFonts w:ascii="Times New Roman" w:hAnsi="Times New Roman"/>
                  <w:color w:val="0000FF"/>
                  <w:sz w:val="18"/>
                  <w:u w:val="single"/>
                </w:rPr>
                <w:t>Consent of Ernst &amp; Young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24.1*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151"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18"/>
                  <w:u w:val="single"/>
                </w:rPr>
                <w:t>Power of Attorney (included on the signature page of this registration statement).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99.1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15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18"/>
                  <w:u w:val="single"/>
                </w:rPr>
                <w:t>Rani Therapeutics, LLC 2016 Equity Incentive Plan and forms of agreement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333-257809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9, 2021</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99.2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15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18"/>
                  <w:u w:val="single"/>
                </w:rPr>
                <w:t>Rani Therapeutics Holdings, Inc. 2021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333-257809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26, 2021</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99.3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15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18"/>
                  <w:u w:val="single"/>
                </w:rPr>
                <w:t>Forms of Agreement under the Rani Therapeutics Holdings, Inc. 2021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001-40672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31, 2022</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99.4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151"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18"/>
                  <w:u w:val="single"/>
                </w:rPr>
                <w:t>Rani Therapeutics Holdings, Inc. 2021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333-257809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26, 2021</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151" w:type="dxa"/>
            <w:tcBorders/>
            <w:tcMar>
              <w:top w:w="0" w:type="dxa"/>
              <w:left w:w="0" w:type="dxa"/>
              <w:bottom w:w="0" w:type="dxa"/>
              <w:right w:w="0" w:type="dxa"/>
            </w:tcMar>
            <w:vAlign w:val="center"/>
          </w:tcPr>
          <w:p>
            <w:pPr>
              <w:pStyle w:val="TableContents"/>
              <w:bidi w:val="0"/>
              <w:spacing w:before="0" w:after="283"/>
              <w:jc w:val="left"/>
              <w:rPr/>
            </w:pPr>
            <w:hyperlink w:anchor="rani-exfiling_fees.htm">
              <w:r>
                <w:rPr>
                  <w:rStyle w:val="InternetLink"/>
                  <w:rFonts w:ascii="Times New Roman" w:hAnsi="Times New Roman"/>
                  <w:color w:val="0000FF"/>
                  <w:sz w:val="18"/>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jc w:val="both"/>
        <w:rPr/>
      </w:pPr>
      <w:r>
        <w:rPr/>
        <w:t>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4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March 31, 2025.</w:t>
      </w:r>
    </w:p>
    <w:p>
      <w:pPr>
        <w:pStyle w:val="TextBody"/>
        <w:bidi w:val="0"/>
        <w:jc w:val="both"/>
        <w:rPr/>
      </w:pPr>
      <w:r>
        <w:rPr/>
        <w:t> </w:t>
      </w:r>
    </w:p>
    <w:tbl>
      <w:tblPr>
        <w:tblW w:w="3521" w:type="dxa"/>
        <w:jc w:val="left"/>
        <w:tblInd w:w="0" w:type="dxa"/>
        <w:tblLayout w:type="fixed"/>
        <w:tblCellMar>
          <w:top w:w="28" w:type="dxa"/>
          <w:left w:w="28" w:type="dxa"/>
          <w:bottom w:w="28" w:type="dxa"/>
          <w:right w:w="28" w:type="dxa"/>
        </w:tblCellMar>
      </w:tblPr>
      <w:tblGrid>
        <w:gridCol w:w="161"/>
        <w:gridCol w:w="550"/>
        <w:gridCol w:w="2810"/>
      </w:tblGrid>
      <w:tr>
        <w:trPr/>
        <w:tc>
          <w:tcPr>
            <w:tcW w:w="16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Rani Therapeutics Holdings,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left"/>
              <w:rPr/>
            </w:pPr>
            <w:r>
              <w:rPr/>
              <w:t> </w:t>
            </w:r>
          </w:p>
        </w:tc>
        <w:tc>
          <w:tcPr>
            <w:tcW w:w="28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Talat Imran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left"/>
              <w:rPr/>
            </w:pPr>
            <w:r>
              <w:rPr/>
              <w:t> </w:t>
            </w:r>
          </w:p>
        </w:tc>
        <w:tc>
          <w:tcPr>
            <w:tcW w:w="28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Talat Imran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left"/>
              <w:rPr/>
            </w:pPr>
            <w:r>
              <w:rPr/>
              <w:t> </w:t>
            </w:r>
          </w:p>
        </w:tc>
        <w:tc>
          <w:tcPr>
            <w:tcW w:w="28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spacing w:before="0" w:after="240"/>
        <w:jc w:val="center"/>
        <w:rPr>
          <w:rFonts w:ascii="Times New Roman" w:hAnsi="Times New Roman"/>
          <w:b/>
          <w:color w:val="000000"/>
          <w:sz w:val="20"/>
        </w:rPr>
      </w:pPr>
      <w:bookmarkStart w:id="2" w:name="power_of_attorney"/>
      <w:bookmarkEnd w:id="2"/>
      <w:r>
        <w:rPr>
          <w:rFonts w:ascii="Times New Roman" w:hAnsi="Times New Roman"/>
          <w:b/>
          <w:color w:val="000000"/>
          <w:sz w:val="20"/>
        </w:rPr>
        <w:t>POWER OF ATTORNEY</w:t>
      </w:r>
    </w:p>
    <w:p>
      <w:pPr>
        <w:pStyle w:val="TextBody"/>
        <w:bidi w:val="0"/>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constitutes and appoints Talat Imran and Svai Sanford,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as amended, this Registration Statement has been signed by the following persons in the capacities and on the dates indicated. </w:t>
      </w:r>
    </w:p>
    <w:p>
      <w:pPr>
        <w:pStyle w:val="TextBody"/>
        <w:bidi w:val="0"/>
        <w:jc w:val="left"/>
        <w:rPr/>
      </w:pPr>
      <w:r>
        <w:rPr/>
        <w:t> </w:t>
      </w:r>
    </w:p>
    <w:tbl>
      <w:tblPr>
        <w:tblW w:w="7705" w:type="dxa"/>
        <w:jc w:val="left"/>
        <w:tblInd w:w="0" w:type="dxa"/>
        <w:tblLayout w:type="fixed"/>
        <w:tblCellMar>
          <w:top w:w="28" w:type="dxa"/>
          <w:left w:w="28" w:type="dxa"/>
          <w:bottom w:w="28" w:type="dxa"/>
          <w:right w:w="28" w:type="dxa"/>
        </w:tblCellMar>
      </w:tblPr>
      <w:tblGrid>
        <w:gridCol w:w="2041"/>
        <w:gridCol w:w="146"/>
        <w:gridCol w:w="3826"/>
        <w:gridCol w:w="146"/>
        <w:gridCol w:w="1546"/>
      </w:tblGrid>
      <w:tr>
        <w:trPr/>
        <w:tc>
          <w:tcPr>
            <w:tcW w:w="20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pBdr>
                <w:bottom w:val="single" w:sz="2"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pBdr>
                <w:bottom w:val="single" w:sz="2"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tcMar>
              <w:top w:w="0" w:type="dxa"/>
              <w:left w:w="0" w:type="dxa"/>
              <w:bottom w:w="0" w:type="dxa"/>
              <w:right w:w="0" w:type="dxa"/>
            </w:tcMar>
            <w:vAlign w:val="center"/>
          </w:tcPr>
          <w:p>
            <w:pPr>
              <w:pStyle w:val="TableContents"/>
              <w:pBdr>
                <w:bottom w:val="single" w:sz="2"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Talat Imran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2025</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Talat Imran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Svai Sanford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2025</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Svai Sanford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Dennis Ausiello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2025</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Dennis Ausiello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Jean-Luc Butel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2025</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Jean-Luc Butel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Laureen DeBuono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2025</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Laureen DeBuono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Farquharson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2025</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Farquharson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Mir Imran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2025</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Mir Imran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Maulik Nanavaty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2025</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Maulik Nanavaty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Lisa Rometty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312, 2025</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Rometty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 w:name="rani-ex5_1.htm"/>
      <w:bookmarkStart w:id="4" w:name="ksraniex5_1"/>
      <w:bookmarkEnd w:id="3"/>
      <w:bookmarkEnd w:id="4"/>
      <w:r>
        <w:rPr>
          <w:rFonts w:ascii="Times New Roman" w:hAnsi="Times New Roman"/>
          <w:b/>
          <w:color w:val="000000"/>
          <w:sz w:val="20"/>
        </w:rPr>
        <w:t>Exhibit 5.1</w:t>
      </w:r>
      <w:r>
        <w:br w:type="page"/>
      </w:r>
    </w:p>
    <w:p>
      <w:pPr>
        <w:pStyle w:val="TextBody"/>
        <w:bidi w:val="0"/>
        <w:spacing w:before="0" w:after="400"/>
        <w:jc w:val="left"/>
        <w:rPr/>
      </w:pPr>
      <w:r>
        <w:rPr/>
        <w:drawing>
          <wp:inline distT="0" distB="0" distL="0" distR="0">
            <wp:extent cx="12954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4"/>
                    <a:stretch>
                      <a:fillRect/>
                    </a:stretch>
                  </pic:blipFill>
                  <pic:spPr bwMode="auto">
                    <a:xfrm>
                      <a:off x="0" y="0"/>
                      <a:ext cx="1295400" cy="428625"/>
                    </a:xfrm>
                    <a:prstGeom prst="rect">
                      <a:avLst/>
                    </a:prstGeom>
                  </pic:spPr>
                </pic:pic>
              </a:graphicData>
            </a:graphic>
          </wp:inline>
        </w:drawing>
      </w:r>
    </w:p>
    <w:p>
      <w:pPr>
        <w:pStyle w:val="TextBody"/>
        <w:bidi w:val="0"/>
        <w:jc w:val="left"/>
        <w:rPr>
          <w:rFonts w:ascii="Arial" w:hAnsi="Arial"/>
          <w:color w:val="000000"/>
          <w:sz w:val="20"/>
        </w:rPr>
      </w:pPr>
      <w:r>
        <w:rPr>
          <w:rFonts w:ascii="Arial" w:hAnsi="Arial"/>
          <w:color w:val="000000"/>
          <w:sz w:val="20"/>
        </w:rPr>
        <w:t>Josh Seidenfeld</w:t>
      </w:r>
    </w:p>
    <w:p>
      <w:pPr>
        <w:pStyle w:val="TextBody"/>
        <w:bidi w:val="0"/>
        <w:jc w:val="left"/>
        <w:rPr>
          <w:rFonts w:ascii="Arial" w:hAnsi="Arial"/>
          <w:color w:val="000000"/>
          <w:sz w:val="20"/>
        </w:rPr>
      </w:pPr>
      <w:r>
        <w:rPr>
          <w:rFonts w:ascii="Arial" w:hAnsi="Arial"/>
          <w:color w:val="000000"/>
          <w:sz w:val="20"/>
        </w:rPr>
        <w:t>+1 650 843 5862</w:t>
      </w:r>
    </w:p>
    <w:p>
      <w:pPr>
        <w:pStyle w:val="TextBody"/>
        <w:bidi w:val="0"/>
        <w:spacing w:before="0" w:after="400"/>
        <w:jc w:val="left"/>
        <w:rPr>
          <w:rFonts w:ascii="Arial" w:hAnsi="Arial"/>
          <w:color w:val="000000"/>
          <w:sz w:val="20"/>
        </w:rPr>
      </w:pPr>
      <w:r>
        <w:rPr>
          <w:rFonts w:ascii="Arial" w:hAnsi="Arial"/>
          <w:color w:val="000000"/>
          <w:sz w:val="20"/>
        </w:rPr>
        <w:t>jseidenfeld@cooley.com</w:t>
      </w:r>
    </w:p>
    <w:p>
      <w:pPr>
        <w:pStyle w:val="TextBody"/>
        <w:bidi w:val="0"/>
        <w:spacing w:before="240" w:after="283"/>
        <w:jc w:val="left"/>
        <w:rPr>
          <w:rFonts w:ascii="Arial" w:hAnsi="Arial"/>
          <w:color w:val="000000"/>
          <w:sz w:val="20"/>
        </w:rPr>
      </w:pPr>
      <w:r>
        <w:rPr>
          <w:rFonts w:ascii="Arial" w:hAnsi="Arial"/>
          <w:color w:val="000000"/>
          <w:sz w:val="20"/>
        </w:rPr>
        <w:t>March 31, 2025</w:t>
      </w:r>
    </w:p>
    <w:p>
      <w:pPr>
        <w:pStyle w:val="TextBody"/>
        <w:bidi w:val="0"/>
        <w:spacing w:before="240" w:after="283"/>
        <w:jc w:val="left"/>
        <w:rPr>
          <w:rFonts w:ascii="Arial" w:hAnsi="Arial"/>
          <w:color w:val="000000"/>
          <w:sz w:val="20"/>
        </w:rPr>
      </w:pPr>
      <w:r>
        <w:rPr>
          <w:rFonts w:ascii="Arial" w:hAnsi="Arial"/>
          <w:color w:val="000000"/>
          <w:sz w:val="20"/>
        </w:rPr>
        <w:t>Rani Therapeutics Holdings, Inc.</w:t>
      </w:r>
    </w:p>
    <w:p>
      <w:pPr>
        <w:pStyle w:val="TextBody"/>
        <w:bidi w:val="0"/>
        <w:jc w:val="left"/>
        <w:rPr>
          <w:rFonts w:ascii="Arial" w:hAnsi="Arial"/>
          <w:color w:val="000000"/>
          <w:sz w:val="20"/>
        </w:rPr>
      </w:pPr>
      <w:r>
        <w:rPr>
          <w:rFonts w:ascii="Arial" w:hAnsi="Arial"/>
          <w:color w:val="000000"/>
          <w:sz w:val="20"/>
        </w:rPr>
        <w:t>2051 Ringwood Avenue</w:t>
      </w:r>
    </w:p>
    <w:p>
      <w:pPr>
        <w:pStyle w:val="TextBody"/>
        <w:bidi w:val="0"/>
        <w:jc w:val="left"/>
        <w:rPr>
          <w:rFonts w:ascii="Arial" w:hAnsi="Arial"/>
          <w:color w:val="000000"/>
          <w:sz w:val="20"/>
        </w:rPr>
      </w:pPr>
      <w:r>
        <w:rPr>
          <w:rFonts w:ascii="Arial" w:hAnsi="Arial"/>
          <w:color w:val="000000"/>
          <w:sz w:val="20"/>
        </w:rPr>
        <w:t>San Jose, California 95131</w:t>
      </w:r>
    </w:p>
    <w:p>
      <w:pPr>
        <w:pStyle w:val="TextBody"/>
        <w:bidi w:val="0"/>
        <w:spacing w:before="240" w:after="283"/>
        <w:jc w:val="left"/>
        <w:rPr>
          <w:rFonts w:ascii="Arial" w:hAnsi="Arial"/>
          <w:color w:val="000000"/>
          <w:sz w:val="20"/>
        </w:rPr>
      </w:pPr>
      <w:r>
        <w:rPr>
          <w:rFonts w:ascii="Arial" w:hAnsi="Arial"/>
          <w:color w:val="000000"/>
          <w:sz w:val="20"/>
        </w:rPr>
        <w:t>Ladies and Gentlemen:</w:t>
      </w:r>
    </w:p>
    <w:p>
      <w:pPr>
        <w:pStyle w:val="TextBody"/>
        <w:bidi w:val="0"/>
        <w:spacing w:before="240" w:after="283"/>
        <w:jc w:val="both"/>
        <w:rPr>
          <w:rFonts w:ascii="Times New Roman" w:hAnsi="Times New Roman"/>
          <w:sz w:val="20"/>
        </w:rPr>
      </w:pPr>
      <w:r>
        <w:rPr>
          <w:rFonts w:ascii="Arial" w:hAnsi="Arial"/>
          <w:color w:val="000000"/>
          <w:sz w:val="20"/>
        </w:rPr>
        <w:t>We have acted as counsel to Rani Therapeutics Holdings, Inc., a Delaware corporation (the “</w:t>
      </w:r>
      <w:r>
        <w:rPr>
          <w:rFonts w:ascii="Arial" w:hAnsi="Arial"/>
          <w:b/>
          <w:i/>
          <w:color w:val="000000"/>
          <w:sz w:val="20"/>
        </w:rPr>
        <w:t>Company</w:t>
      </w:r>
      <w:r>
        <w:rPr>
          <w:rFonts w:ascii="Times New Roman" w:hAnsi="Times New Roman"/>
          <w:color w:val="000000"/>
          <w:sz w:val="20"/>
        </w:rPr>
        <w:t>”</w:t>
      </w:r>
      <w:r>
        <w:rPr>
          <w:rFonts w:ascii="Arial" w:hAnsi="Arial"/>
          <w:color w:val="000000"/>
          <w:sz w:val="20"/>
        </w:rPr>
        <w:t>), in connection with the filing by the Company of a Registration Statement on Form S-8 (the “</w:t>
      </w:r>
      <w:r>
        <w:rPr>
          <w:rFonts w:ascii="Arial" w:hAnsi="Arial"/>
          <w:b/>
          <w:i/>
          <w:color w:val="000000"/>
          <w:sz w:val="20"/>
        </w:rPr>
        <w:t>Registration Statement</w:t>
      </w:r>
      <w:r>
        <w:rPr>
          <w:rFonts w:ascii="Times New Roman" w:hAnsi="Times New Roman"/>
          <w:color w:val="000000"/>
          <w:sz w:val="20"/>
        </w:rPr>
        <w:t>”</w:t>
      </w:r>
      <w:r>
        <w:rPr>
          <w:rFonts w:ascii="Arial" w:hAnsi="Arial"/>
          <w:color w:val="000000"/>
          <w:sz w:val="20"/>
        </w:rPr>
        <w:t>) with the Securities and Exchange Commission (the “</w:t>
      </w:r>
      <w:r>
        <w:rPr>
          <w:rFonts w:ascii="Arial" w:hAnsi="Arial"/>
          <w:b/>
          <w:i/>
          <w:color w:val="000000"/>
          <w:sz w:val="20"/>
        </w:rPr>
        <w:t>Commission</w:t>
      </w:r>
      <w:r>
        <w:rPr>
          <w:rFonts w:ascii="Times New Roman" w:hAnsi="Times New Roman"/>
          <w:color w:val="000000"/>
          <w:sz w:val="20"/>
        </w:rPr>
        <w:t>”</w:t>
      </w:r>
      <w:r>
        <w:rPr>
          <w:rFonts w:ascii="Arial" w:hAnsi="Arial"/>
          <w:color w:val="000000"/>
          <w:sz w:val="20"/>
        </w:rPr>
        <w:t>) covering an offering of up to 2,970,091 shares (the “</w:t>
      </w:r>
      <w:r>
        <w:rPr>
          <w:rFonts w:ascii="Arial" w:hAnsi="Arial"/>
          <w:b/>
          <w:i/>
          <w:color w:val="000000"/>
          <w:sz w:val="20"/>
        </w:rPr>
        <w:t>Shares</w:t>
      </w:r>
      <w:r>
        <w:rPr>
          <w:rFonts w:ascii="Times New Roman" w:hAnsi="Times New Roman"/>
          <w:color w:val="000000"/>
          <w:sz w:val="20"/>
        </w:rPr>
        <w:t>”</w:t>
      </w:r>
      <w:r>
        <w:rPr>
          <w:rFonts w:ascii="Arial" w:hAnsi="Arial"/>
          <w:color w:val="000000"/>
          <w:sz w:val="20"/>
        </w:rPr>
        <w:t>) of the Company’s Class A common stock, par value $0.0001 per share (the “</w:t>
      </w:r>
      <w:r>
        <w:rPr>
          <w:rFonts w:ascii="Arial" w:hAnsi="Arial"/>
          <w:b/>
          <w:i/>
          <w:color w:val="000000"/>
          <w:sz w:val="20"/>
        </w:rPr>
        <w:t>Common Stock</w:t>
      </w:r>
      <w:r>
        <w:rPr>
          <w:rFonts w:ascii="Times New Roman" w:hAnsi="Times New Roman"/>
          <w:color w:val="000000"/>
          <w:sz w:val="20"/>
        </w:rPr>
        <w:t>”</w:t>
      </w:r>
      <w:r>
        <w:rPr>
          <w:rFonts w:ascii="Arial" w:hAnsi="Arial"/>
          <w:color w:val="000000"/>
          <w:sz w:val="20"/>
        </w:rPr>
        <w:t>), consisting of (a) 2,870,091 shares of Common Stock issuable pursuant to the Company’s 2021 Equity Incentive Plan (the “</w:t>
      </w:r>
      <w:r>
        <w:rPr>
          <w:rFonts w:ascii="Arial" w:hAnsi="Arial"/>
          <w:b/>
          <w:i/>
          <w:color w:val="000000"/>
          <w:sz w:val="20"/>
        </w:rPr>
        <w:t>2021 EIP</w:t>
      </w:r>
      <w:r>
        <w:rPr>
          <w:rFonts w:ascii="Times New Roman" w:hAnsi="Times New Roman"/>
          <w:color w:val="000000"/>
          <w:sz w:val="20"/>
        </w:rPr>
        <w:t>”</w:t>
      </w:r>
      <w:r>
        <w:rPr>
          <w:rFonts w:ascii="Arial" w:hAnsi="Arial"/>
          <w:color w:val="000000"/>
          <w:sz w:val="20"/>
        </w:rPr>
        <w:t>) and (b) 100,000 shares of Common Stock issuable pursuant to the Company’s 2021 Employee Stock Purchase Plan (together with the 2021 EIP, the “</w:t>
      </w:r>
      <w:r>
        <w:rPr>
          <w:rFonts w:ascii="Arial" w:hAnsi="Arial"/>
          <w:b/>
          <w:i/>
          <w:color w:val="000000"/>
          <w:sz w:val="20"/>
        </w:rPr>
        <w:t>Plans</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connection with this opinion, we have examined and relied upon (a) the Registration Statement and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240" w:after="283"/>
        <w:jc w:val="both"/>
        <w:rPr>
          <w:rFonts w:ascii="Arial" w:hAnsi="Arial"/>
          <w:color w:val="000000"/>
          <w:sz w:val="20"/>
        </w:rPr>
      </w:pPr>
      <w:r>
        <w:rPr>
          <w:rFonts w:ascii="Arial" w:hAnsi="Arial"/>
          <w:color w:val="000000"/>
          <w:sz w:val="20"/>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deferred payment arrangements, which will be fully paid and nonassessable when such deferred payments are made in full).</w:t>
      </w:r>
    </w:p>
    <w:p>
      <w:pPr>
        <w:pStyle w:val="TextBody"/>
        <w:bidi w:val="0"/>
        <w:spacing w:before="240" w:after="283"/>
        <w:jc w:val="both"/>
        <w:rPr>
          <w:rFonts w:ascii="Arial" w:hAnsi="Arial"/>
          <w:color w:val="000000"/>
          <w:sz w:val="20"/>
        </w:rPr>
      </w:pPr>
      <w:r>
        <w:rPr>
          <w:rFonts w:ascii="Arial" w:hAnsi="Arial"/>
          <w:color w:val="000000"/>
          <w:sz w:val="20"/>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4"/>
        </w:rPr>
      </w:pPr>
      <w:r>
        <w:rPr>
          <w:rFonts w:ascii="Arial" w:hAnsi="Arial"/>
          <w:color w:val="000000"/>
          <w:sz w:val="14"/>
        </w:rPr>
        <w:t>Cooley LLP 3175 Hanover Street Palo Alto, CA 94304-1130</w:t>
      </w:r>
    </w:p>
    <w:p>
      <w:pPr>
        <w:pStyle w:val="TextBody"/>
        <w:bidi w:val="0"/>
        <w:spacing w:before="60" w:after="283"/>
        <w:jc w:val="center"/>
        <w:rPr>
          <w:rFonts w:ascii="Arial" w:hAnsi="Arial"/>
          <w:color w:val="000000"/>
          <w:sz w:val="14"/>
        </w:rPr>
      </w:pPr>
      <w:r>
        <w:rPr>
          <w:rFonts w:ascii="Arial" w:hAnsi="Arial"/>
          <w:color w:val="000000"/>
          <w:sz w:val="14"/>
        </w:rPr>
        <w:t>t: (650) 843-5000 f: (650) 849-7400 cooley.com</w:t>
      </w:r>
    </w:p>
    <w:p>
      <w:pPr>
        <w:pStyle w:val="HorizontalLine"/>
        <w:pBdr>
          <w:bottom w:val="double" w:sz="2" w:space="0" w:color="808080"/>
        </w:pBdr>
        <w:bidi w:val="0"/>
        <w:spacing w:before="0" w:after="283"/>
        <w:jc w:val="left"/>
        <w:rPr/>
      </w:pPr>
      <w:r>
        <w:rPr/>
      </w:r>
    </w:p>
    <w:p>
      <w:pPr>
        <w:pStyle w:val="TextBody"/>
        <w:bidi w:val="0"/>
        <w:spacing w:before="0" w:after="400"/>
        <w:jc w:val="left"/>
        <w:rPr/>
      </w:pPr>
      <w:r>
        <w:rPr/>
        <w:drawing>
          <wp:inline distT="0" distB="0" distL="0" distR="0">
            <wp:extent cx="129540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295400" cy="428625"/>
                    </a:xfrm>
                    <a:prstGeom prst="rect">
                      <a:avLst/>
                    </a:prstGeom>
                  </pic:spPr>
                </pic:pic>
              </a:graphicData>
            </a:graphic>
          </wp:inline>
        </w:drawing>
      </w:r>
    </w:p>
    <w:p>
      <w:pPr>
        <w:pStyle w:val="TextBody"/>
        <w:bidi w:val="0"/>
        <w:jc w:val="left"/>
        <w:rPr>
          <w:rFonts w:ascii="Arial" w:hAnsi="Arial"/>
          <w:color w:val="000000"/>
          <w:sz w:val="20"/>
        </w:rPr>
      </w:pPr>
      <w:r>
        <w:rPr>
          <w:rFonts w:ascii="Arial" w:hAnsi="Arial"/>
          <w:color w:val="000000"/>
          <w:sz w:val="20"/>
        </w:rPr>
        <w:t>Rani Therapeutics Holdings, Inc.</w:t>
      </w:r>
    </w:p>
    <w:p>
      <w:pPr>
        <w:pStyle w:val="TextBody"/>
        <w:bidi w:val="0"/>
        <w:jc w:val="left"/>
        <w:rPr>
          <w:rFonts w:ascii="Arial" w:hAnsi="Arial"/>
          <w:color w:val="000000"/>
          <w:sz w:val="20"/>
        </w:rPr>
      </w:pPr>
      <w:r>
        <w:rPr>
          <w:rFonts w:ascii="Arial" w:hAnsi="Arial"/>
          <w:color w:val="000000"/>
          <w:sz w:val="20"/>
        </w:rPr>
        <w:t>March 31, 2025</w:t>
      </w:r>
    </w:p>
    <w:p>
      <w:pPr>
        <w:pStyle w:val="TextBody"/>
        <w:bidi w:val="0"/>
        <w:spacing w:before="0" w:after="400"/>
        <w:jc w:val="left"/>
        <w:rPr>
          <w:rFonts w:ascii="Arial" w:hAnsi="Arial"/>
          <w:color w:val="000000"/>
          <w:sz w:val="20"/>
        </w:rPr>
      </w:pPr>
      <w:r>
        <w:rPr>
          <w:rFonts w:ascii="Arial" w:hAnsi="Arial"/>
          <w:color w:val="000000"/>
          <w:sz w:val="20"/>
        </w:rPr>
        <w:t>Page Two</w:t>
      </w:r>
    </w:p>
    <w:p>
      <w:pPr>
        <w:pStyle w:val="TextBody"/>
        <w:bidi w:val="0"/>
        <w:spacing w:before="240" w:after="283"/>
        <w:jc w:val="both"/>
        <w:rPr>
          <w:rFonts w:ascii="Arial" w:hAnsi="Arial"/>
          <w:color w:val="000000"/>
          <w:sz w:val="20"/>
        </w:rPr>
      </w:pPr>
      <w:r>
        <w:rPr>
          <w:rFonts w:ascii="Arial" w:hAnsi="Arial"/>
          <w:color w:val="000000"/>
          <w:sz w:val="20"/>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jc w:val="left"/>
        <w:rPr/>
      </w:pPr>
      <w:r>
        <w:rPr/>
        <w:t> </w:t>
      </w:r>
    </w:p>
    <w:tbl>
      <w:tblPr>
        <w:tblW w:w="2251" w:type="dxa"/>
        <w:jc w:val="left"/>
        <w:tblInd w:w="0" w:type="dxa"/>
        <w:tblLayout w:type="fixed"/>
        <w:tblCellMar>
          <w:top w:w="28" w:type="dxa"/>
          <w:left w:w="28" w:type="dxa"/>
          <w:bottom w:w="28" w:type="dxa"/>
          <w:right w:w="28" w:type="dxa"/>
        </w:tblCellMar>
      </w:tblPr>
      <w:tblGrid>
        <w:gridCol w:w="421"/>
        <w:gridCol w:w="157"/>
        <w:gridCol w:w="1673"/>
      </w:tblGrid>
      <w:tr>
        <w:trPr/>
        <w:tc>
          <w:tcPr>
            <w:tcW w:w="4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Very truly yours,</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Cooley LLP</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83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Josh Seidenfeld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Josh Seidenfeld</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4"/>
        </w:rPr>
      </w:pPr>
      <w:r>
        <w:rPr>
          <w:rFonts w:ascii="Arial" w:hAnsi="Arial"/>
          <w:color w:val="000000"/>
          <w:sz w:val="14"/>
        </w:rPr>
        <w:t>Cooley LLP 3175 Hanover Street Palo Alto, CA 94304-1130</w:t>
      </w:r>
    </w:p>
    <w:p>
      <w:pPr>
        <w:pStyle w:val="TextBody"/>
        <w:bidi w:val="0"/>
        <w:spacing w:before="60" w:after="283"/>
        <w:jc w:val="center"/>
        <w:rPr>
          <w:rFonts w:ascii="Arial" w:hAnsi="Arial"/>
          <w:color w:val="000000"/>
          <w:sz w:val="14"/>
        </w:rPr>
      </w:pPr>
      <w:r>
        <w:rPr>
          <w:rFonts w:ascii="Arial" w:hAnsi="Arial"/>
          <w:color w:val="000000"/>
          <w:sz w:val="14"/>
        </w:rPr>
        <w:t>t: (650) 843-5000 f: (650) 849-7400 cooley.com</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 w:name="rani-ex23_2.htm"/>
      <w:bookmarkStart w:id="6" w:name="ksraniex23_2"/>
      <w:bookmarkEnd w:id="5"/>
      <w:bookmarkEnd w:id="6"/>
      <w:r>
        <w:rPr>
          <w:rFonts w:ascii="Times New Roman" w:hAnsi="Times New Roman"/>
          <w:b/>
          <w:color w:val="000000"/>
          <w:sz w:val="20"/>
        </w:rPr>
        <w:t>Exhibit 23.2</w:t>
      </w:r>
      <w:r>
        <w:br w:type="page"/>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Consent of MARCUM LLP,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this Registration Statement of Rani Therapeutics Holdings, Inc. (the “Company”) on Form S-8 of our report dated March 31, 2025, which includes an explanatory paragraph as to the Company’s ability to continue as a going concern, with respect to our audit of the consolidated financial statements of Rani Therapeutics Holdings, Inc. as of December 31, 2024 and for the year then ended appearing in the Annual Report on Form 10-K of Rani Therapeutics Holdings, Inc. for the year ended December 31,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Marcum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Marcum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San Francisco, California </w:t>
      </w:r>
    </w:p>
    <w:p>
      <w:pPr>
        <w:pStyle w:val="TextBody"/>
        <w:bidi w:val="0"/>
        <w:jc w:val="left"/>
        <w:rPr>
          <w:rFonts w:ascii="Times New Roman" w:hAnsi="Times New Roman"/>
          <w:color w:val="000000"/>
          <w:sz w:val="20"/>
        </w:rPr>
      </w:pPr>
      <w:r>
        <w:rPr>
          <w:rFonts w:ascii="Times New Roman" w:hAnsi="Times New Roman"/>
          <w:color w:val="000000"/>
          <w:sz w:val="20"/>
        </w:rPr>
        <w:t>March 31,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 w:name="rani-ex23_3.htm"/>
      <w:bookmarkStart w:id="8" w:name="ksraniex23_3"/>
      <w:bookmarkEnd w:id="7"/>
      <w:bookmarkEnd w:id="8"/>
      <w:r>
        <w:rPr>
          <w:rFonts w:ascii="Times New Roman" w:hAnsi="Times New Roman"/>
          <w:b/>
          <w:color w:val="000000"/>
          <w:sz w:val="20"/>
        </w:rPr>
        <w:t>Exhibit 23.3</w:t>
      </w:r>
      <w:r>
        <w:br w:type="page"/>
      </w:r>
    </w:p>
    <w:p>
      <w:pPr>
        <w:pStyle w:val="TextBody"/>
        <w:bidi w:val="0"/>
        <w:jc w:val="right"/>
        <w:rPr/>
      </w:pPr>
      <w:r>
        <w:rPr/>
        <w:t> </w:t>
      </w:r>
    </w:p>
    <w:p>
      <w:pPr>
        <w:pStyle w:val="TextBody"/>
        <w:bidi w:val="0"/>
        <w:jc w:val="righ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Consent of Ernst &amp; Young LLP,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 (Form S-8) pertaining to the Rani Therapeutics Holdings, Inc. 2021 Equity Incentive Plan and Rani Therapeutics Holdings, Inc. 2021 Employee Stock Purchase Plan of Rani Therapeutics Holdings, Inc. of our report dated March 20, 2024, with respect to the consolidated financial statements of Rani Therapeutics Holdings, Inc. included in its Annual Report (Form 10-K) for the year ended December 31, 2023, filed with the Securities and Exchange Commission.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jc w:val="left"/>
        <w:rPr>
          <w:rFonts w:ascii="Times New Roman" w:hAnsi="Times New Roman"/>
          <w:color w:val="000000"/>
          <w:sz w:val="20"/>
        </w:rPr>
      </w:pPr>
      <w:r>
        <w:rPr>
          <w:rFonts w:ascii="Times New Roman" w:hAnsi="Times New Roman"/>
          <w:color w:val="000000"/>
          <w:sz w:val="20"/>
        </w:rPr>
        <w:t>March 31, 2025</w:t>
      </w:r>
    </w:p>
    <w:p>
      <w:pPr>
        <w:pStyle w:val="HorizontalLine"/>
        <w:pBdr>
          <w:bottom w:val="double" w:sz="2" w:space="0" w:color="808080"/>
        </w:pBdr>
        <w:bidi w:val="0"/>
        <w:spacing w:before="0" w:after="283"/>
        <w:jc w:val="left"/>
        <w:rPr/>
      </w:pPr>
      <w:r>
        <w:rPr/>
      </w:r>
    </w:p>
    <w:p>
      <w:pPr>
        <w:pStyle w:val="TextBody"/>
        <w:bidi w:val="0"/>
        <w:spacing w:before="0" w:after="90"/>
        <w:jc w:val="center"/>
        <w:rPr>
          <w:rFonts w:ascii="Times New Roman" w:hAnsi="Times New Roman"/>
          <w:b/>
          <w:color w:val="000000"/>
          <w:sz w:val="20"/>
        </w:rPr>
      </w:pPr>
      <w:bookmarkStart w:id="9" w:name="rani-exfiling_fees.htm"/>
      <w:bookmarkStart w:id="10" w:name="ksraniexfiling_fees"/>
      <w:bookmarkEnd w:id="9"/>
      <w:bookmarkEnd w:id="10"/>
      <w:r>
        <w:rPr>
          <w:rFonts w:ascii="Times New Roman" w:hAnsi="Times New Roman"/>
          <w:b/>
          <w:color w:val="000000"/>
          <w:sz w:val="20"/>
        </w:rPr>
        <w:t>CALCULATION OF FILING FEE TABLES</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Form S-8</w:t>
      </w:r>
    </w:p>
    <w:p>
      <w:pPr>
        <w:pStyle w:val="TextBody"/>
        <w:bidi w:val="0"/>
        <w:spacing w:before="0" w:after="90"/>
        <w:jc w:val="center"/>
        <w:rPr>
          <w:rFonts w:ascii="Times New Roman" w:hAnsi="Times New Roman"/>
          <w:color w:val="000000"/>
          <w:sz w:val="20"/>
        </w:rPr>
      </w:pPr>
      <w:r>
        <w:rPr>
          <w:rFonts w:ascii="Times New Roman" w:hAnsi="Times New Roman"/>
          <w:color w:val="000000"/>
          <w:sz w:val="20"/>
        </w:rPr>
        <w:t>(Form Type)</w:t>
      </w:r>
    </w:p>
    <w:p>
      <w:pPr>
        <w:pStyle w:val="TextBody"/>
        <w:bidi w:val="0"/>
        <w:jc w:val="center"/>
        <w:rPr>
          <w:rFonts w:ascii="Times New Roman" w:hAnsi="Times New Roman"/>
          <w:b/>
          <w:color w:val="000000"/>
          <w:sz w:val="22"/>
        </w:rPr>
      </w:pPr>
      <w:r>
        <w:rPr>
          <w:rFonts w:ascii="Times New Roman" w:hAnsi="Times New Roman"/>
          <w:b/>
          <w:color w:val="000000"/>
          <w:sz w:val="22"/>
        </w:rPr>
        <w:t>Rani Therapeutics Holdings, Inc.</w:t>
      </w:r>
    </w:p>
    <w:p>
      <w:pPr>
        <w:pStyle w:val="TextBody"/>
        <w:bidi w:val="0"/>
        <w:spacing w:before="0" w:after="9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Table 1: Newly Registered Securities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56"/>
        <w:gridCol w:w="2478"/>
        <w:gridCol w:w="990"/>
        <w:gridCol w:w="1134"/>
        <w:gridCol w:w="1221"/>
        <w:gridCol w:w="1620"/>
        <w:gridCol w:w="848"/>
        <w:gridCol w:w="1158"/>
      </w:tblGrid>
      <w:tr>
        <w:trPr/>
        <w:tc>
          <w:tcPr>
            <w:tcW w:w="756"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75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Security Type</w:t>
            </w:r>
          </w:p>
        </w:tc>
        <w:tc>
          <w:tcPr>
            <w:tcW w:w="247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Security Class Title</w:t>
            </w:r>
          </w:p>
        </w:tc>
        <w:tc>
          <w:tcPr>
            <w:tcW w:w="99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Fee Calculation Rule</w:t>
            </w:r>
          </w:p>
        </w:tc>
        <w:tc>
          <w:tcPr>
            <w:tcW w:w="113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Amount to be Registered</w:t>
            </w:r>
            <w:r>
              <w:rPr>
                <w:rFonts w:ascii="Times New Roman" w:hAnsi="Times New Roman"/>
                <w:color w:val="000000"/>
                <w:sz w:val="11"/>
              </w:rPr>
              <w:t>(1)</w:t>
            </w:r>
          </w:p>
        </w:tc>
        <w:tc>
          <w:tcPr>
            <w:tcW w:w="12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Proposed Maximum Offering Price Per Share</w:t>
            </w:r>
          </w:p>
        </w:tc>
        <w:tc>
          <w:tcPr>
            <w:tcW w:w="162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Proposed Maximum Aggregate Offering Price</w:t>
            </w:r>
          </w:p>
        </w:tc>
        <w:tc>
          <w:tcPr>
            <w:tcW w:w="84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Fee Rate</w:t>
            </w:r>
          </w:p>
        </w:tc>
        <w:tc>
          <w:tcPr>
            <w:tcW w:w="115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 of Registration Fee</w:t>
            </w:r>
          </w:p>
        </w:tc>
      </w:tr>
      <w:tr>
        <w:trPr/>
        <w:tc>
          <w:tcPr>
            <w:tcW w:w="7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24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Class A common stock, $0.0001 par value per share, reserved for issuance pursuant to the 2021 Equity Incentive Plan </w:t>
            </w:r>
          </w:p>
        </w:tc>
        <w:tc>
          <w:tcPr>
            <w:tcW w:w="99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(2)</w:t>
            </w:r>
          </w:p>
        </w:tc>
        <w:tc>
          <w:tcPr>
            <w:tcW w:w="1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2,870,091</w:t>
            </w:r>
            <w:r>
              <w:rPr>
                <w:rFonts w:ascii="Times New Roman" w:hAnsi="Times New Roman"/>
                <w:color w:val="000000"/>
                <w:sz w:val="13"/>
              </w:rPr>
              <w:t>(4)</w:t>
            </w:r>
          </w:p>
        </w:tc>
        <w:tc>
          <w:tcPr>
            <w:tcW w:w="12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$1.36</w:t>
            </w:r>
          </w:p>
        </w:tc>
        <w:tc>
          <w:tcPr>
            <w:tcW w:w="16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$3,903,323.76</w:t>
            </w:r>
          </w:p>
        </w:tc>
        <w:tc>
          <w:tcPr>
            <w:tcW w:w="8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.0001531</w:t>
            </w:r>
          </w:p>
        </w:tc>
        <w:tc>
          <w:tcPr>
            <w:tcW w:w="11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$597.60</w:t>
            </w:r>
          </w:p>
        </w:tc>
      </w:tr>
      <w:tr>
        <w:trPr/>
        <w:tc>
          <w:tcPr>
            <w:tcW w:w="7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24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Class A Common Stock, $0.0001 par value per share, reserved for issuance pursuant to the 2021 Employee Stock Purchase Plan </w:t>
            </w:r>
          </w:p>
        </w:tc>
        <w:tc>
          <w:tcPr>
            <w:tcW w:w="99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(3)</w:t>
            </w:r>
          </w:p>
        </w:tc>
        <w:tc>
          <w:tcPr>
            <w:tcW w:w="1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100,000</w:t>
            </w:r>
            <w:r>
              <w:rPr>
                <w:rFonts w:ascii="Times New Roman" w:hAnsi="Times New Roman"/>
                <w:color w:val="000000"/>
                <w:sz w:val="13"/>
              </w:rPr>
              <w:t>(5)</w:t>
            </w:r>
          </w:p>
        </w:tc>
        <w:tc>
          <w:tcPr>
            <w:tcW w:w="12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c>
          <w:tcPr>
            <w:tcW w:w="16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$116,000.00</w:t>
            </w:r>
          </w:p>
        </w:tc>
        <w:tc>
          <w:tcPr>
            <w:tcW w:w="8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.0001531</w:t>
            </w:r>
          </w:p>
        </w:tc>
        <w:tc>
          <w:tcPr>
            <w:tcW w:w="11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$17.76</w:t>
            </w:r>
          </w:p>
        </w:tc>
      </w:tr>
      <w:tr>
        <w:trPr/>
        <w:tc>
          <w:tcPr>
            <w:tcW w:w="6579" w:type="dxa"/>
            <w:gridSpan w:val="5"/>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Offering Amounts</w:t>
            </w:r>
          </w:p>
        </w:tc>
        <w:tc>
          <w:tcPr>
            <w:tcW w:w="16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$4,019,323.76</w:t>
            </w:r>
          </w:p>
        </w:tc>
        <w:tc>
          <w:tcPr>
            <w:tcW w:w="8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1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$615.36</w:t>
            </w:r>
          </w:p>
        </w:tc>
      </w:tr>
      <w:tr>
        <w:trPr/>
        <w:tc>
          <w:tcPr>
            <w:tcW w:w="6579" w:type="dxa"/>
            <w:gridSpan w:val="5"/>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Fee Offsets</w:t>
            </w:r>
          </w:p>
        </w:tc>
        <w:tc>
          <w:tcPr>
            <w:tcW w:w="16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8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1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color w:val="000000"/>
              </w:rPr>
            </w:pPr>
            <w:r>
              <w:rPr>
                <w:color w:val="000000"/>
              </w:rPr>
              <w:t>—</w:t>
            </w:r>
          </w:p>
        </w:tc>
      </w:tr>
      <w:tr>
        <w:trPr/>
        <w:tc>
          <w:tcPr>
            <w:tcW w:w="6579" w:type="dxa"/>
            <w:gridSpan w:val="5"/>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 Fee Due</w:t>
            </w:r>
          </w:p>
        </w:tc>
        <w:tc>
          <w:tcPr>
            <w:tcW w:w="16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8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1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$615.36</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5"/>
        <w:gridCol w:w="9910"/>
      </w:tblGrid>
      <w:tr>
        <w:trPr/>
        <w:tc>
          <w:tcPr>
            <w:tcW w:w="295" w:type="dxa"/>
            <w:tcBorders/>
            <w:vAlign w:val="center"/>
          </w:tcPr>
          <w:p>
            <w:pPr>
              <w:pStyle w:val="TableContents"/>
              <w:bidi w:val="0"/>
              <w:spacing w:before="0" w:after="283"/>
              <w:jc w:val="left"/>
              <w:rPr>
                <w:sz w:val="4"/>
                <w:szCs w:val="4"/>
              </w:rPr>
            </w:pPr>
            <w:r>
              <w:rPr>
                <w:sz w:val="4"/>
                <w:szCs w:val="4"/>
              </w:rPr>
            </w:r>
          </w:p>
        </w:tc>
        <w:tc>
          <w:tcPr>
            <w:tcW w:w="9910" w:type="dxa"/>
            <w:tcBorders/>
            <w:vAlign w:val="center"/>
          </w:tcPr>
          <w:p>
            <w:pPr>
              <w:pStyle w:val="TableContents"/>
              <w:bidi w:val="0"/>
              <w:spacing w:before="0" w:after="283"/>
              <w:jc w:val="left"/>
              <w:rPr>
                <w:sz w:val="4"/>
                <w:szCs w:val="4"/>
              </w:rPr>
            </w:pPr>
            <w:r>
              <w:rPr>
                <w:sz w:val="4"/>
                <w:szCs w:val="4"/>
              </w:rPr>
            </w:r>
          </w:p>
        </w:tc>
      </w:tr>
      <w:tr>
        <w:trPr/>
        <w:tc>
          <w:tcPr>
            <w:tcW w:w="29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(1)</w:t>
            </w:r>
          </w:p>
        </w:tc>
        <w:tc>
          <w:tcPr>
            <w:tcW w:w="9910"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sz w:val="20"/>
              </w:rPr>
            </w:pPr>
            <w:r>
              <w:rPr>
                <w:rFonts w:ascii="Times New Roman" w:hAnsi="Times New Roman"/>
                <w:color w:val="000000"/>
                <w:sz w:val="20"/>
              </w:rPr>
              <w:t>Pursuant to Rule 416(a) under the Securities Act of 1933, as amended (the “</w:t>
            </w:r>
            <w:r>
              <w:rPr>
                <w:rFonts w:ascii="Times New Roman" w:hAnsi="Times New Roman"/>
                <w:b/>
                <w:i/>
                <w:color w:val="000000"/>
                <w:sz w:val="20"/>
              </w:rPr>
              <w:t>Securities Act</w:t>
            </w:r>
            <w:r>
              <w:rPr>
                <w:rFonts w:ascii="Times New Roman" w:hAnsi="Times New Roman"/>
                <w:color w:val="000000"/>
                <w:sz w:val="20"/>
              </w:rPr>
              <w:t>”), this Registration Statement shall also cover any additional shares of Class A common stock (“</w:t>
            </w:r>
            <w:r>
              <w:rPr>
                <w:rFonts w:ascii="Times New Roman" w:hAnsi="Times New Roman"/>
                <w:b/>
                <w:i/>
                <w:color w:val="000000"/>
                <w:sz w:val="20"/>
              </w:rPr>
              <w:t>Class A Common Stock</w:t>
            </w:r>
            <w:r>
              <w:rPr>
                <w:rFonts w:ascii="Times New Roman" w:hAnsi="Times New Roman"/>
                <w:color w:val="000000"/>
                <w:sz w:val="20"/>
              </w:rPr>
              <w:t>”) of Rani Therapeutics Holdings, Inc. (the “</w:t>
            </w:r>
            <w:r>
              <w:rPr>
                <w:rFonts w:ascii="Times New Roman" w:hAnsi="Times New Roman"/>
                <w:b/>
                <w:i/>
                <w:color w:val="000000"/>
                <w:sz w:val="20"/>
              </w:rPr>
              <w:t>Registrant</w:t>
            </w:r>
            <w:r>
              <w:rPr>
                <w:rFonts w:ascii="Times New Roman" w:hAnsi="Times New Roman"/>
                <w:color w:val="000000"/>
                <w:sz w:val="20"/>
              </w:rPr>
              <w:t>”) that become issuable under the Registrant’s 2021 Equity Incentive Place (the “</w:t>
            </w:r>
            <w:r>
              <w:rPr>
                <w:rFonts w:ascii="Times New Roman" w:hAnsi="Times New Roman"/>
                <w:b/>
                <w:i/>
                <w:color w:val="000000"/>
                <w:sz w:val="20"/>
              </w:rPr>
              <w:t>2021 Plan</w:t>
            </w:r>
            <w:r>
              <w:rPr>
                <w:rFonts w:ascii="Times New Roman" w:hAnsi="Times New Roman"/>
                <w:color w:val="000000"/>
                <w:sz w:val="20"/>
              </w:rPr>
              <w:t>”), or the Registrant’s 2021 Employee Stock Purchase Plan (the “</w:t>
            </w:r>
            <w:r>
              <w:rPr>
                <w:rFonts w:ascii="Times New Roman" w:hAnsi="Times New Roman"/>
                <w:b/>
                <w:i/>
                <w:color w:val="000000"/>
                <w:sz w:val="20"/>
              </w:rPr>
              <w:t>ESPP</w:t>
            </w:r>
            <w:r>
              <w:rPr>
                <w:rFonts w:ascii="Times New Roman" w:hAnsi="Times New Roman"/>
                <w:color w:val="000000"/>
                <w:sz w:val="20"/>
              </w:rPr>
              <w:t xml:space="preserve">”) by reason of any stock dividend, stock split, recapitalization or any other similar transaction effected without receipt of consideration which results in an increase in the number of outstanding shares of Class A Common Stock. </w:t>
            </w:r>
          </w:p>
        </w:tc>
      </w:tr>
      <w:tr>
        <w:trPr/>
        <w:tc>
          <w:tcPr>
            <w:tcW w:w="2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w:t>
            </w:r>
          </w:p>
        </w:tc>
        <w:tc>
          <w:tcPr>
            <w:tcW w:w="991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Estimated pursuant to Rule 457(c) and Rule 457(h) solely for the purpose of calculating the registration fee on the basis of $1.36 per share, which is the average of the high and low prices of the Class A Common Stock as reported on The Nasdaq Global Market on March 28, 2025 (rounded up to the nearest cent).</w:t>
            </w:r>
          </w:p>
        </w:tc>
      </w:tr>
      <w:tr>
        <w:trPr/>
        <w:tc>
          <w:tcPr>
            <w:tcW w:w="2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w:t>
            </w:r>
          </w:p>
        </w:tc>
        <w:tc>
          <w:tcPr>
            <w:tcW w:w="991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Estimated pursuant to Rule 457(c) and Rule 457(h) solely for the purpose of calculating the registration fee on the basis of $1.16 per share, which is the average of the high and low prices of the Class A Common Stock as reported on The Nasdaq Global Market on March 28, 2025 (rounded up to the nearest cent), multiplied by 85%, which is the percentage of the price per share applicable to purchasers under the 2021 ESPP.</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93"/>
        <w:gridCol w:w="9912"/>
      </w:tblGrid>
      <w:tr>
        <w:trPr/>
        <w:tc>
          <w:tcPr>
            <w:tcW w:w="293" w:type="dxa"/>
            <w:tcBorders/>
            <w:vAlign w:val="center"/>
          </w:tcPr>
          <w:p>
            <w:pPr>
              <w:pStyle w:val="TableContents"/>
              <w:bidi w:val="0"/>
              <w:spacing w:before="0" w:after="283"/>
              <w:jc w:val="left"/>
              <w:rPr>
                <w:sz w:val="4"/>
                <w:szCs w:val="4"/>
              </w:rPr>
            </w:pPr>
            <w:r>
              <w:rPr>
                <w:sz w:val="4"/>
                <w:szCs w:val="4"/>
              </w:rPr>
            </w:r>
          </w:p>
        </w:tc>
        <w:tc>
          <w:tcPr>
            <w:tcW w:w="9912" w:type="dxa"/>
            <w:tcBorders/>
            <w:vAlign w:val="center"/>
          </w:tcPr>
          <w:p>
            <w:pPr>
              <w:pStyle w:val="TableContents"/>
              <w:bidi w:val="0"/>
              <w:spacing w:before="0" w:after="283"/>
              <w:jc w:val="left"/>
              <w:rPr>
                <w:sz w:val="4"/>
                <w:szCs w:val="4"/>
              </w:rPr>
            </w:pPr>
            <w:r>
              <w:rPr>
                <w:sz w:val="4"/>
                <w:szCs w:val="4"/>
              </w:rPr>
            </w:r>
          </w:p>
        </w:tc>
      </w:tr>
      <w:tr>
        <w:trPr/>
        <w:tc>
          <w:tcPr>
            <w:tcW w:w="2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w:t>
            </w:r>
          </w:p>
        </w:tc>
        <w:tc>
          <w:tcPr>
            <w:tcW w:w="99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sz w:val="20"/>
              </w:rPr>
            </w:pPr>
            <w:r>
              <w:rPr>
                <w:rFonts w:ascii="Times New Roman" w:hAnsi="Times New Roman"/>
                <w:color w:val="000000"/>
                <w:sz w:val="20"/>
              </w:rPr>
              <w:t>Represents additional shares of Class A Common Stock reserved for future grant under the 2021 Plan as a result of the automatic increase in shares reserved thereunder on January 1, 2025 pursuant to an “evergreen” provision contained in the 2021 Plan. Pursuant to such provision, an additional number of shares will automatically be added annually to the shares authorized for issuance under the 2021 Plan on January 1st of each calendar year, starting on January 1, 2022 and ending on (and including) January 1, 2031, in an amount equal to: (a) 5% of the total number of shares of all classes of the Registrant’s common stock outstanding on December 31st of the immediately preceding calendar year; or (b) a lesser number of shares as the Registrant’s board of directors (the “</w:t>
            </w:r>
            <w:r>
              <w:rPr>
                <w:rFonts w:ascii="Times New Roman" w:hAnsi="Times New Roman"/>
                <w:b/>
                <w:i/>
                <w:color w:val="000000"/>
                <w:sz w:val="20"/>
              </w:rPr>
              <w:t>Board</w:t>
            </w:r>
            <w:r>
              <w:rPr>
                <w:rFonts w:ascii="Times New Roman" w:hAnsi="Times New Roman"/>
                <w:color w:val="000000"/>
                <w:sz w:val="20"/>
              </w:rPr>
              <w:t>”) may designate no later than December 31st of the immediately preceding year.</w:t>
            </w:r>
          </w:p>
        </w:tc>
      </w:tr>
      <w:tr>
        <w:trPr/>
        <w:tc>
          <w:tcPr>
            <w:tcW w:w="2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(5)</w:t>
            </w:r>
          </w:p>
        </w:tc>
        <w:tc>
          <w:tcPr>
            <w:tcW w:w="99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sz w:val="20"/>
              </w:rPr>
            </w:pPr>
            <w:r>
              <w:rPr>
                <w:rFonts w:ascii="Times New Roman" w:hAnsi="Times New Roman"/>
                <w:color w:val="000000"/>
                <w:sz w:val="20"/>
              </w:rPr>
              <w:t>Represents additional shares of Class A Common Stock reserved for issuance under the ESPP as a result of the automatic increase in shares reserved thereunder on January 1, 2025 pursuant to an “evergreen” provision contained in the ESPP. Pursuant to such provision, an additional number of shares will automatically be added annually to the shares authorized for issuance under the ESPP on January 1st of each calendar year, starting on January 1, 2022 and ending on (and including) January 1, 2031. The number of shares added each year will be equal to the lesser of: (a) 1% of the total number of shares of all classes of the Registrant’s common stock outstanding on December 31st of the immediately preceding calendar year; (b) 100,000 shares; or (c) a lesser number of shares as the Board may designate no later than December 31</w:t>
            </w:r>
            <w:r>
              <w:rPr>
                <w:rFonts w:ascii="Times New Roman" w:hAnsi="Times New Roman"/>
                <w:color w:val="000000"/>
                <w:sz w:val="13"/>
              </w:rPr>
              <w:t>st</w:t>
            </w:r>
            <w:r>
              <w:rPr>
                <w:rFonts w:ascii="Times New Roman" w:hAnsi="Times New Roman"/>
                <w:color w:val="000000"/>
                <w:sz w:val="20"/>
              </w:rPr>
              <w:t> of the immediately preceding year.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56725/000119312521235042/d161667ds8.htm" TargetMode="External"/><Relationship Id="rId3" Type="http://schemas.openxmlformats.org/officeDocument/2006/relationships/hyperlink" Target="https://www.sec.gov/Archives/edgar/data/1856725/000119312522091767/d266622ds8.htm" TargetMode="External"/><Relationship Id="rId4" Type="http://schemas.openxmlformats.org/officeDocument/2006/relationships/hyperlink" Target="https://www.sec.gov/Archives/edgar/data/1856725/000095017023009189/2023_form_s-8.htm" TargetMode="External"/><Relationship Id="rId5" Type="http://schemas.openxmlformats.org/officeDocument/2006/relationships/hyperlink" Target="https://www.sec.gov/Archives/edgar/data/1856725/000095017023009189/2023_form_s-8.htm" TargetMode="External"/><Relationship Id="rId6" Type="http://schemas.openxmlformats.org/officeDocument/2006/relationships/hyperlink" Target="https://www.sec.gov/Archives/edgar/data/0001856725/000119312521224394/d193678d8a12b.htm" TargetMode="External"/><Relationship Id="rId7" Type="http://schemas.openxmlformats.org/officeDocument/2006/relationships/hyperlink" Target="https://www.sec.gov/Archives/edgar/data/1856725/000119312521223596/d151628dex31.htm" TargetMode="External"/><Relationship Id="rId8" Type="http://schemas.openxmlformats.org/officeDocument/2006/relationships/hyperlink" Target="https://www.sec.gov/Archives/edgar/data/1856725/000119312521211922/d151628dex34.htm" TargetMode="External"/><Relationship Id="rId9" Type="http://schemas.openxmlformats.org/officeDocument/2006/relationships/hyperlink" Target="https://www.sec.gov/Archives/edgar/data/1856725/000119312521223596/d151628dex41.htm" TargetMode="External"/><Relationship Id="rId10" Type="http://schemas.openxmlformats.org/officeDocument/2006/relationships/hyperlink" Target="https://www.sec.gov/Archives/edgar/data/1856725/000119312521211922/d151628dex105.htm" TargetMode="External"/><Relationship Id="rId11" Type="http://schemas.openxmlformats.org/officeDocument/2006/relationships/hyperlink" Target="https://www.sec.gov/Archives/edgar/data/1856725/000119312521223596/d151628dex107.htm" TargetMode="External"/><Relationship Id="rId12" Type="http://schemas.openxmlformats.org/officeDocument/2006/relationships/hyperlink" Target="https://www.sec.gov/Archives/edgar/data/1856725/000095017022005088/rani-ex10_8.htm" TargetMode="External"/><Relationship Id="rId13" Type="http://schemas.openxmlformats.org/officeDocument/2006/relationships/hyperlink" Target="https://www.sec.gov/Archives/edgar/data/1856725/000119312521223596/d151628dex108.htm" TargetMode="External"/><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2837</Words>
  <Characters>15076</Characters>
  <CharactersWithSpaces>17940</CharactersWithSpaces>
  <Paragraphs>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