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ind w:left="3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001-40672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86-3114789</w:t>
            </w:r>
          </w:p>
        </w:tc>
      </w:tr>
      <w:tr>
        <w:trPr>
          <w:trHeight w:val="149"/>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2051 Ringwood Avenue</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2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6"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On May 28, 2026, Rani Therapeutics Holdings, Inc. (the “Company”) held its annual meeting of stockholders (“Annual Meeting”). As of April 2, 2026, the record date for the Annual Meeting, there were 99,812,515 shares of Class A common stock outstanding and entitled to vote and 23,970,359 shares of Class B common stock outstanding and entitled to vote at the Annual Meeting. Holders of the Company’s Class A common stock and holders of the Company’s Class B common stock are entitled to one vote per share. Holders of Class A common stock and Class B common stock voted together as a single class on all matters submitted to a vote of stockholders at the Annual Meeting.</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The following is a summary of the matters voted on at the Annual Meeting based on the report of the voting results by the inspector of election. The Company’s Definitive Proxy Statement on Schedule 14A filed with the Securities and Exchange Commission on April 16, 2026 contains a description of the following proposals considered at the Annual Meeting, each of which were approved by the Company's stockholders at the Annual Meeting as set forth below:</w:t>
      </w:r>
    </w:p>
    <w:p>
      <w:pPr>
        <w:spacing w:after="0" w:line="177" w:lineRule="exact"/>
        <w:rPr>
          <w:sz w:val="20"/>
          <w:szCs w:val="20"/>
          <w:color w:val="auto"/>
        </w:rPr>
      </w:pPr>
    </w:p>
    <w:p>
      <w:pPr>
        <w:ind w:right="940" w:firstLine="8"/>
        <w:spacing w:after="0" w:line="298" w:lineRule="auto"/>
        <w:tabs>
          <w:tab w:leader="none" w:pos="162"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stockholders elected the director nominees below, to hold office until the 2027 annual meeting of stockholders or until their successors are duly elected and qualified, as follows:</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59"/>
        </w:trPr>
        <w:tc>
          <w:tcPr>
            <w:tcW w:w="3600" w:type="dxa"/>
            <w:vAlign w:val="bottom"/>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3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4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Talat Imran</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57,336,620</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148,439</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19,921,604</w:t>
            </w:r>
          </w:p>
        </w:tc>
      </w:tr>
      <w:tr>
        <w:trPr>
          <w:trHeight w:val="23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Mir Imran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56,592,898</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892,161</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19,921,604</w:t>
            </w:r>
          </w:p>
        </w:tc>
      </w:tr>
      <w:tr>
        <w:trPr>
          <w:trHeight w:val="24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Dennis Ausiello, M.D.</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57,356,662</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128,397</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19,921,604</w:t>
            </w:r>
          </w:p>
        </w:tc>
      </w:tr>
      <w:tr>
        <w:trPr>
          <w:trHeight w:val="23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Jean-Luc Butel</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52,488,017</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4,997,042</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19,921,604</w:t>
            </w:r>
          </w:p>
        </w:tc>
      </w:tr>
      <w:tr>
        <w:trPr>
          <w:trHeight w:val="24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Vasudev Bailey, Ph.D.</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57,382,892</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102,167</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19,921,604</w:t>
            </w:r>
          </w:p>
        </w:tc>
      </w:tr>
      <w:tr>
        <w:trPr>
          <w:trHeight w:val="23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Abraham Bassan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57,369,150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115,909</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19,921,604</w:t>
            </w:r>
          </w:p>
        </w:tc>
      </w:tr>
      <w:tr>
        <w:trPr>
          <w:trHeight w:val="24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Lisa Rometty</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57,271,205</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213,854</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19,921,604</w:t>
            </w:r>
          </w:p>
        </w:tc>
      </w:tr>
    </w:tbl>
    <w:p>
      <w:pPr>
        <w:spacing w:after="0" w:line="306" w:lineRule="exact"/>
        <w:rPr>
          <w:sz w:val="20"/>
          <w:szCs w:val="20"/>
          <w:color w:val="auto"/>
        </w:rPr>
      </w:pPr>
    </w:p>
    <w:p>
      <w:pPr>
        <w:ind w:firstLine="8"/>
        <w:spacing w:after="0" w:line="282"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ratified the appointment of CBIZ CPAs P.C. as the Company's independent registered public accounting firm for the fiscal year ending December 31, 2026, as follows:</w:t>
      </w:r>
    </w:p>
    <w:p>
      <w:pPr>
        <w:spacing w:after="0" w:line="63" w:lineRule="exact"/>
        <w:rPr>
          <w:sz w:val="20"/>
          <w:szCs w:val="20"/>
          <w:color w:val="auto"/>
        </w:rPr>
      </w:pPr>
    </w:p>
    <w:p>
      <w:pPr>
        <w:ind w:left="20"/>
        <w:spacing w:after="0"/>
        <w:tabs>
          <w:tab w:leader="none" w:pos="2220" w:val="left"/>
        </w:tabs>
        <w:rPr>
          <w:sz w:val="20"/>
          <w:szCs w:val="20"/>
          <w:color w:val="auto"/>
        </w:rPr>
      </w:pPr>
      <w:r>
        <w:rPr>
          <w:rFonts w:ascii="Times New Roman" w:cs="Times New Roman" w:eastAsia="Times New Roman" w:hAnsi="Times New Roman"/>
          <w:sz w:val="18"/>
          <w:szCs w:val="18"/>
          <w:b w:val="1"/>
          <w:bCs w:val="1"/>
          <w:color w:val="auto"/>
        </w:rPr>
        <w:t>For:</w:t>
      </w:r>
      <w:r>
        <w:rPr>
          <w:sz w:val="20"/>
          <w:szCs w:val="20"/>
          <w:color w:val="auto"/>
        </w:rPr>
        <w:tab/>
      </w:r>
      <w:r>
        <w:rPr>
          <w:rFonts w:ascii="Times New Roman" w:cs="Times New Roman" w:eastAsia="Times New Roman" w:hAnsi="Times New Roman"/>
          <w:sz w:val="18"/>
          <w:szCs w:val="18"/>
          <w:color w:val="auto"/>
        </w:rPr>
        <w:t>77,019,828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28028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0285" cy="15430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2440" w:val="left"/>
        </w:tabs>
        <w:rPr>
          <w:sz w:val="20"/>
          <w:szCs w:val="20"/>
          <w:color w:val="auto"/>
        </w:rPr>
      </w:pPr>
      <w:r>
        <w:rPr>
          <w:rFonts w:ascii="Times New Roman" w:cs="Times New Roman" w:eastAsia="Times New Roman" w:hAnsi="Times New Roman"/>
          <w:sz w:val="18"/>
          <w:szCs w:val="18"/>
          <w:b w:val="1"/>
          <w:bCs w:val="1"/>
          <w:color w:val="auto"/>
        </w:rPr>
        <w:t>Against:</w:t>
      </w:r>
      <w:r>
        <w:rPr>
          <w:sz w:val="20"/>
          <w:szCs w:val="20"/>
          <w:color w:val="auto"/>
        </w:rPr>
        <w:tab/>
      </w:r>
      <w:r>
        <w:rPr>
          <w:rFonts w:ascii="Times New Roman" w:cs="Times New Roman" w:eastAsia="Times New Roman" w:hAnsi="Times New Roman"/>
          <w:sz w:val="18"/>
          <w:szCs w:val="18"/>
          <w:color w:val="auto"/>
        </w:rPr>
        <w:t>332,645</w:t>
      </w:r>
    </w:p>
    <w:p>
      <w:pPr>
        <w:spacing w:after="0" w:line="36" w:lineRule="exact"/>
        <w:rPr>
          <w:sz w:val="20"/>
          <w:szCs w:val="20"/>
          <w:color w:val="auto"/>
        </w:rPr>
      </w:pPr>
    </w:p>
    <w:p>
      <w:pPr>
        <w:ind w:left="20"/>
        <w:spacing w:after="0"/>
        <w:tabs>
          <w:tab w:leader="none" w:pos="2500" w:val="left"/>
        </w:tabs>
        <w:rPr>
          <w:sz w:val="20"/>
          <w:szCs w:val="20"/>
          <w:color w:val="auto"/>
        </w:rPr>
      </w:pPr>
      <w:r>
        <w:rPr>
          <w:rFonts w:ascii="Times New Roman" w:cs="Times New Roman" w:eastAsia="Times New Roman" w:hAnsi="Times New Roman"/>
          <w:sz w:val="18"/>
          <w:szCs w:val="18"/>
          <w:b w:val="1"/>
          <w:bCs w:val="1"/>
          <w:color w:val="auto"/>
        </w:rPr>
        <w:t>Abstain:</w:t>
      </w:r>
      <w:r>
        <w:rPr>
          <w:sz w:val="20"/>
          <w:szCs w:val="20"/>
          <w:color w:val="auto"/>
        </w:rPr>
        <w:tab/>
      </w:r>
      <w:r>
        <w:rPr>
          <w:rFonts w:ascii="Times New Roman" w:cs="Times New Roman" w:eastAsia="Times New Roman" w:hAnsi="Times New Roman"/>
          <w:sz w:val="18"/>
          <w:szCs w:val="18"/>
          <w:color w:val="auto"/>
        </w:rPr>
        <w:t>54,190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228028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80285" cy="15430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28, 2026</w:t>
      </w:r>
      <w:r>
        <w:rPr>
          <w:sz w:val="20"/>
          <w:szCs w:val="20"/>
          <w:color w:val="auto"/>
        </w:rPr>
        <w:tab/>
      </w:r>
      <w:r>
        <w:rPr>
          <w:rFonts w:ascii="Times New Roman" w:cs="Times New Roman" w:eastAsia="Times New Roman" w:hAnsi="Times New Roman"/>
          <w:sz w:val="18"/>
          <w:szCs w:val="18"/>
          <w:color w:val="auto"/>
        </w:rPr>
        <w:t>By:</w:t>
        <w:tab/>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Svai Sanford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2026-05-29T05:41:28Z</dcterms:created>
  <dcterms:modified xsi:type="dcterms:W3CDTF">2026-05-29T05:41:28Z</dcterms:modified>
</cp:coreProperties>
</file>