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40806.htm"/>
      <w:bookmarkStart w:id="1" w:name="ksrani2024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06,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2024, Rani Therapeutics Holdings, Inc. (the “Company”) issued a press release providing a corporate update and announcing its financial results for the quarter ended June 30, 2024. The full text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99_1.htm">
              <w:r>
                <w:rPr>
                  <w:rStyle w:val="InternetLink"/>
                  <w:rFonts w:ascii="Times New Roman" w:hAnsi="Times New Roman"/>
                  <w:color w:val="0000FF"/>
                  <w:sz w:val="20"/>
                  <w:u w:val="single"/>
                </w:rPr>
                <w:t>Press Release of Rani Therapeutics Holdings, Inc. dated August 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556"/>
        <w:gridCol w:w="1351"/>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ani-ex99_1.htm"/>
      <w:bookmarkStart w:id="3" w:name="ksrani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6668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Rani Therapeutics Reports Second Quarter 2024 Financial Results; Provides Corporate Update</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Announced partnership with ProGen on development of RT-114, an oral GLP-1/GLP-2 dual agonist for the treatment of obesity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Phase 1 study for RT-114 expected to initiate in 2025 -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Completed equity offering with gross proceeds of approximately $10.0 million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Presented clinical and preclinical data on oral delivery of an ustekinumab biosimilar via the RaniPill® Capsule at Digestive Disease Week 2024 -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SAN JOSE, Calif., August 6, 2024 </w:t>
      </w:r>
      <w:r>
        <w:rPr>
          <w:rFonts w:ascii="Times New Roman" w:hAnsi="Times New Roman"/>
          <w:color w:val="000000"/>
          <w:sz w:val="20"/>
        </w:rPr>
        <w:t>--Rani Therapeutics Holdings, Inc. (“Rani Therapeutics” or “Rani”) (Nasdaq: RANI), a clinical-stage biotherapeutics company focused on the oral delivery of biologics and drugs, today reported financial results for the quarter ended June 30, 2024 and provided a corporate update.</w:t>
      </w:r>
    </w:p>
    <w:p>
      <w:pPr>
        <w:pStyle w:val="TextBody"/>
        <w:bidi w:val="0"/>
        <w:spacing w:before="180" w:after="283"/>
        <w:jc w:val="left"/>
        <w:rPr>
          <w:color w:val="000000"/>
        </w:rPr>
      </w:pPr>
      <w:r>
        <w:rPr>
          <w:color w:val="000000"/>
        </w:rPr>
        <w:t>“</w:t>
      </w:r>
      <w:r>
        <w:rPr>
          <w:rFonts w:ascii="Times New Roman" w:hAnsi="Times New Roman"/>
          <w:color w:val="000000"/>
          <w:sz w:val="20"/>
        </w:rPr>
        <w:t>This quarter has been transformative for Rani, highlighted by the recent partnership with ProGen for the co-development and commercialization of RT-114, an oral RaniPill® capsule containing ProGen’s PG-102, a GLP-1/GLP-2 dual agonist, for the treatment of obesity,” said Talat Imran, Chief Executive Officer of Rani. “RT-114 has the potential to provide better lean muscle preservation and nutritional health of patients compared to current therapies due to the unique mechanism of action of GLP-2. We intend to evaluate RT-114 as a convenient, weekly oral dose. We look forward to initiating our Phase 1 study for RT-114 in 2025 with the aim of advancing a truly differentiated oral anti-obesity treatment option.”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Second Quarter 2024 and Subsequent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Announced Partnership with ProGen on Development of Oral Obesity Treatment.</w:t>
      </w:r>
      <w:r>
        <w:rPr>
          <w:color w:val="000000"/>
        </w:rPr>
        <w:t xml:space="preserve"> </w:t>
      </w:r>
      <w:r>
        <w:rPr>
          <w:rFonts w:ascii="Times New Roman" w:hAnsi="Times New Roman"/>
          <w:color w:val="000000"/>
          <w:sz w:val="20"/>
        </w:rPr>
        <w:t>In June 2024, Rani announced that it has entered into a definitive agreement with ProGen Co., Ltd., a South Korean clinical-stage biotech company developing next generation long-acting, multi-specific fusion protein therapeutics, for the co-development and commercialization of RT-114, an oral RaniPill® capsule containing ProGen’s PG-102, a GLP-1/GLP-2 dual agonist, for the treatment of obesity. Under the terms of the collaboration agreement, Rani and ProGen agree to share responsibilities for the development and commercialization of RT-114 worldwide, including a 50/50 cost and revenue share arrangement. Rani has exclusive rights to lead development and commercialization of RT-114 in the United States, Europe, Canada and Australia, and ProGen has exclusive rights to lead development and commercialization in the rest of the world. Rani is designated to lead operationally in conducting preclinical and development activities through the Phase 1 program, which is expected to initiate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Completed equity offering for total gross proceeds of approximately $10.0 million.</w:t>
      </w:r>
      <w:r>
        <w:rPr>
          <w:color w:val="000000"/>
        </w:rPr>
        <w:t xml:space="preserve"> </w:t>
      </w:r>
      <w:r>
        <w:rPr>
          <w:rFonts w:ascii="Times New Roman" w:hAnsi="Times New Roman"/>
          <w:color w:val="000000"/>
          <w:sz w:val="20"/>
        </w:rPr>
        <w:t>In July 2024, Rani completed the sale and issuance of Class A common stock, pre-funded warrants to purchase Class A common stock, and warrants to purchase Class A common stock, to an institutional investor for total gross proceeds of approximately $10.0 million, excluding any potential proceeds from the exercise of warrants, if 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ProGen presented data from Phase 1 single-ascending dose study of PG-102, a GLP-1/GLP-2 dual agonist, at the 2024 American Diabetes Association conference.</w:t>
      </w:r>
      <w:r>
        <w:rPr>
          <w:color w:val="000000"/>
        </w:rPr>
        <w:t xml:space="preserve"> </w:t>
      </w:r>
      <w:r>
        <w:rPr>
          <w:rFonts w:ascii="Times New Roman" w:hAnsi="Times New Roman"/>
          <w:color w:val="000000"/>
          <w:sz w:val="20"/>
        </w:rPr>
        <w:t>PG-102 showed a favorable safety profile with lower frequencies of gastrointestinal side effects compared to competitors’ trials in similar settings.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Presented Clinical and Preclinical Data on Oral Delivery of an Ustekinumab Biosimilar via the RaniPill® Capsule at Digestive Disease Week 2024.</w:t>
      </w:r>
      <w:r>
        <w:rPr>
          <w:color w:val="000000"/>
        </w:rPr>
        <w:t xml:space="preserve"> </w:t>
      </w:r>
      <w:r>
        <w:rPr>
          <w:rFonts w:ascii="Times New Roman" w:hAnsi="Times New Roman"/>
          <w:color w:val="000000"/>
          <w:sz w:val="20"/>
        </w:rPr>
        <w:t>In May 2024, Rani presented clinical and preclinical data on the RaniPill® capsule, the company’s oral delivery platform, at Digestive Disease Week® (DDW). The clinical data presentation demonstrated that an orally administered robotic pill (RP) reliably and safely delivered an ustekinumab biosimilar RT-111 with high bioavailability relative to subcutaneous (SC) ustekinumab in healthy human participants. The preclinical data presentation demonstrated that an orally-administered ustekinumab biosimilar RT-111 delivered via a robotic pill yielded bioavailability comparable to subcutaneous injection in canines.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Near-Term Milestone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Phase 1 clinical trial of RT-114 containing a GLP-1/GLP-2 dual agonist for the treatment of obesity expected in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Second Quarter 2024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cash equivalents and marketable securities</w:t>
      </w:r>
      <w:r>
        <w:rPr>
          <w:color w:val="000000"/>
        </w:rPr>
        <w:t xml:space="preserve"> </w:t>
      </w:r>
      <w:r>
        <w:rPr>
          <w:rFonts w:ascii="Times New Roman" w:hAnsi="Times New Roman"/>
          <w:color w:val="000000"/>
          <w:sz w:val="20"/>
        </w:rPr>
        <w:t>as of June 30, 2024 totaled $30.9 million, compared to $48.5 million for the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Research and development expenses</w:t>
      </w:r>
      <w:r>
        <w:rPr>
          <w:color w:val="000000"/>
        </w:rPr>
        <w:t xml:space="preserve"> </w:t>
      </w:r>
      <w:r>
        <w:rPr>
          <w:rFonts w:ascii="Times New Roman" w:hAnsi="Times New Roman"/>
          <w:color w:val="000000"/>
          <w:sz w:val="20"/>
        </w:rPr>
        <w:t>for the three months ended June 30, 2024 were $6.1 million, compared to $11.1 million for the same period in 2023. The decrease of $5.0 million was primarily attributed to lower compensation costs of $2.9 million due to reduction in workforce, $1.6 million reduction in third-party services and $0.4 million reduction in materials and supplies due to the timing of certain preclinical and clinical studies.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General and administrative expenses</w:t>
      </w:r>
      <w:r>
        <w:rPr>
          <w:color w:val="000000"/>
        </w:rPr>
        <w:t xml:space="preserve"> </w:t>
      </w:r>
      <w:r>
        <w:rPr>
          <w:rFonts w:ascii="Times New Roman" w:hAnsi="Times New Roman"/>
          <w:color w:val="000000"/>
          <w:sz w:val="20"/>
        </w:rPr>
        <w:t>for the three months ended June 30, 2024 were $6.4 million, compared to $7.2 million for the same period in 2023. The decrease of $0.8 million was primarily attributed to lower compensation costs of $1.3 million due to reduction in workforce, offset by an increase in facility costs of $0.4 million due to the lease in Fremont, California.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color w:val="000000"/>
        </w:rPr>
        <w:t xml:space="preserve"> </w:t>
      </w:r>
      <w:r>
        <w:rPr>
          <w:rFonts w:ascii="Times New Roman" w:hAnsi="Times New Roman"/>
          <w:color w:val="000000"/>
          <w:sz w:val="20"/>
        </w:rPr>
        <w:t>for the three months ended June 30, 2024 was $13.4 million, compared to $18.7 million for the same period in 2023, including stock-based compensation expense of $4.1 million for the three months ended June 30, 2024, compared to $5.1 million for the same period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About Rani Therapeutics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w:t>
      </w:r>
      <w:r>
        <w:rPr>
          <w:rFonts w:ascii="Times New Roman" w:hAnsi="Times New Roman"/>
          <w:sz w:val="20"/>
        </w:rPr>
        <w:t>ranitherapeutics.com</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RT-114 therapeutic potential, the expected initiation of a Phase 1 trial of RT-114 in 2025, the success of Rani’s collaboration with ProGen, Rani’s development and advancement of its RaniPill capsule technology, including RaniPill HC, Rani’s advancement of its preclinical and clinical programs and timing of results,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“expect,” “intend,” “look forward,” “potential,”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2023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Trademarks</w:t>
      </w:r>
    </w:p>
    <w:p>
      <w:pPr>
        <w:pStyle w:val="TextBody"/>
        <w:bidi w:val="0"/>
        <w:jc w:val="left"/>
        <w:rPr>
          <w:rFonts w:ascii="Times New Roman" w:hAnsi="Times New Roman"/>
          <w:color w:val="000000"/>
          <w:sz w:val="20"/>
        </w:rPr>
      </w:pPr>
      <w:r>
        <w:rPr>
          <w:rFonts w:ascii="Times New Roman" w:hAnsi="Times New Roman"/>
          <w:color w:val="000000"/>
          <w:sz w:val="20"/>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160"/>
        <w:jc w:val="both"/>
        <w:rPr>
          <w:rFonts w:ascii="Times New Roman" w:hAnsi="Times New Roman"/>
          <w:color w:val="0000FF"/>
          <w:sz w:val="20"/>
          <w:u w:val="single"/>
        </w:rPr>
      </w:pPr>
      <w:r>
        <w:rPr>
          <w:rFonts w:ascii="Times New Roman" w:hAnsi="Times New Roman"/>
          <w:color w:val="0000FF"/>
          <w:sz w:val="20"/>
          <w:u w:val="single"/>
        </w:rPr>
        <w:t>investors@ranitherapeutics.com</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160"/>
        <w:jc w:val="both"/>
        <w:rPr>
          <w:rFonts w:ascii="Times New Roman" w:hAnsi="Times New Roman"/>
          <w:color w:val="0000FF"/>
          <w:sz w:val="20"/>
          <w:u w:val="single"/>
        </w:rPr>
      </w:pPr>
      <w:r>
        <w:rPr>
          <w:rFonts w:ascii="Times New Roman" w:hAnsi="Times New Roman"/>
          <w:color w:val="0000FF"/>
          <w:sz w:val="20"/>
          <w:u w:val="single"/>
        </w:rPr>
        <w:t>media@ranitherapeutics.com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RANI THERAPEUTICS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83"/>
        <w:gridCol w:w="146"/>
        <w:gridCol w:w="213"/>
        <w:gridCol w:w="745"/>
        <w:gridCol w:w="166"/>
        <w:gridCol w:w="146"/>
        <w:gridCol w:w="225"/>
        <w:gridCol w:w="787"/>
        <w:gridCol w:w="594"/>
      </w:tblGrid>
      <w:tr>
        <w:trPr/>
        <w:tc>
          <w:tcPr>
            <w:tcW w:w="7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1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32,473</w:t>
            </w:r>
          </w:p>
        </w:tc>
        <w:tc>
          <w:tcPr>
            <w:tcW w:w="594"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26,489 and 26,036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4" w:type="dxa"/>
            <w:tcBorders/>
            <w:shd w:fill="CFF0FC"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24,116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4"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12,866</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RANI THERAPEUTICS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19"/>
        <w:gridCol w:w="146"/>
        <w:gridCol w:w="213"/>
        <w:gridCol w:w="744"/>
        <w:gridCol w:w="167"/>
        <w:gridCol w:w="147"/>
        <w:gridCol w:w="213"/>
        <w:gridCol w:w="744"/>
        <w:gridCol w:w="166"/>
        <w:gridCol w:w="146"/>
        <w:gridCol w:w="211"/>
        <w:gridCol w:w="736"/>
        <w:gridCol w:w="166"/>
        <w:gridCol w:w="146"/>
        <w:gridCol w:w="211"/>
        <w:gridCol w:w="736"/>
        <w:gridCol w:w="794"/>
      </w:tblGrid>
      <w:tr>
        <w:trPr/>
        <w:tc>
          <w:tcPr>
            <w:tcW w:w="4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5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ind w:left="0" w:right="0" w:firstLine="200"/>
              <w:jc w:val="right"/>
              <w:rPr/>
            </w:pPr>
            <w:r>
              <w:rPr/>
              <w:t> </w:t>
            </w:r>
          </w:p>
        </w:tc>
      </w:tr>
      <w:tr>
        <w:trPr/>
        <w:tc>
          <w:tcPr>
            <w:tcW w:w="45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20,798</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45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1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1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7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45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45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(35,496</w:t>
            </w:r>
          </w:p>
        </w:tc>
        <w:tc>
          <w:tcPr>
            <w:tcW w:w="79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25,293</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2295</Words>
  <Characters>12932</Characters>
  <CharactersWithSpaces>15306</CharactersWithSpaces>
  <Paragraphs>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