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15, 2026, Rani Therapeutics Holdings, Inc. (the “Company”) issued a press release providing a corporate update, announcing its financial results for the three months ended March 31, 2026, as well as a Chief Financial Officer transition. The full text of the press release is furnished as Exhibit 99.1 to this Current Report on Form 8-K and is incorporated herein by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Item 2.02, including the press release attached as Exhibit 99.1 hereto,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11, 2026, the Company received a letter from the Nasdaq Stock Exchange LLC (“Nasdaq”), notifying the Company that, based on the closing bid price of the Company’s Class A common stock, par value $0.0001 per share (the “Common Stock”), for the prior 30 consecutive business days, the Company no longer complies with the minimum bid price requirement for continued listing on The Nasdaq Global Market. Nasdaq Listing Rule 5450(a)(1) requires listed securities to maintain a minimum bid price of $1.00 per share (the “Minimum Bid Price Requirement”). Under Nasdaq Listing Rule 5810(c)</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(3)(A), the Company is entitled to a 180-day period, ending on November 9, 2026, to rectify the deficiency. In order to do so, the Company must achieve and maintain a minimum bid price of at least $1.00 per share or more for a minimum of 10 consecutive business days.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does not regain compliance by November 9, 2026, the Company may be eligible for an additional 180 calendar day compliance period if it elects to transfer to The Nasdaq Capital Market to take advantage of the additional compliance period offered on that market. To qualify, the Company will be required to meet the continued listing requirement for market value of publicly held shares and all other initial listing standards, with the exception of the Minimum Bid Price Requirement, and will need to provide written notice of its intention to cure the deficiency during the second compliance period by effecting a reverse stock split if necessary. If the Company does not regain compliance within the compliance period(s), including any extensions that may be granted by Nasdaq, the Common Stock will be subject to delisting. The Company intends to monitor the closing bid price of the Common Stock and consider its available options to resolve the noncompliance with the Minimum Bid Price Requirement. There can be no assurance that the Company will be able to regain compliance with The Nasdaq Global Market’s continued listing requirements or that Nasdaq will grant the Company a further extension of time to regain compliance, if applicable.</w:t>
      </w:r>
    </w:p>
    <w:p>
      <w:pPr>
        <w:spacing w:after="0" w:line="29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12, 2026, Svai Sanford, the Company’s Chief Financial Officer, advised the Company that he will resign from his position following the appointment of his successor. In the interim, Mr. Sanford has agreed to continue serving as Chief Financial Officer during to ensure continuity and support an orderly transition of responsibilities until a successor is appointed or until an earlier date as may be mutually agreed between the Company and Mr. Sanford.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Sanford’s departure is not the result of any disagreement with the Company on any matter relating to the Company’s financial operations, policies or practices. The Company has commenced a search for a successor Chief Financial Officer.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Sanford and the Company have entered into a transition and separation agreement, dated May 15, 2026 (the “Separation Agreement”). The Separation Agreement provides that, in exchange for executing a general release of claims in favor of the Company, after his departure, Mr. Sanford will receive his base salary of $491,400 for nine months following his departure, as well as COBRA premiums for nine months. All of Mr. Sanford’s unvested stock options and restricted stock units for shares of the Company’s Class A common stock shall accelerate and fully vest upon as of his departure date, and Mr. Sanford will have up to one year to exercise all of his stock options for shares of the Company’s Class A common stock. Mr. Sanford will be entitled to his standard ordinary course pay and benefits while he continues to serve as Chief Financial Officer and before the appointment of his successor.</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is qualified in its entirety by reference to the full text of the Separation Agreement, which will be filed as an exhibit to the Company's Quarterly Report on Form 10-Q for the three months ended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1541780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20"/>
                <w:szCs w:val="20"/>
                <w:color w:val="auto"/>
              </w:rPr>
            </w:pPr>
          </w:p>
        </w:tc>
        <w:tc>
          <w:tcPr>
            <w:tcW w:w="10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102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of Rani Therapeutics Holdings, Inc. dated May 15, 2026</w:t>
            </w: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100" w:type="dxa"/>
            <w:vAlign w:val="bottom"/>
            <w:tcBorders>
              <w:right w:val="single" w:sz="8" w:color="0000EE"/>
            </w:tcBorders>
            <w:shd w:val="clear" w:color="auto" w:fill="0000FF"/>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r>
        <w:trPr>
          <w:trHeight w:val="23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Talat Imran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156845</wp:posOffset>
            </wp:positionV>
            <wp:extent cx="1499870" cy="754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987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Reports First Quarter 2026 Financial Results; Provides Corporate Update; Announces CFO Transition</w:t>
      </w:r>
    </w:p>
    <w:p>
      <w:pPr>
        <w:spacing w:after="0" w:line="119" w:lineRule="exact"/>
        <w:rPr>
          <w:sz w:val="20"/>
          <w:szCs w:val="20"/>
          <w:color w:val="auto"/>
        </w:rPr>
      </w:pPr>
    </w:p>
    <w:p>
      <w:pPr>
        <w:ind w:left="680" w:hanging="107"/>
        <w:spacing w:after="0"/>
        <w:tabs>
          <w:tab w:leader="none" w:pos="68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Continued advancement of the ongoing Phase 1 study of RT-114 via RaniPill® for the treatment of obesity in collaboration with ProGen –</w:t>
      </w:r>
    </w:p>
    <w:p>
      <w:pPr>
        <w:spacing w:after="0" w:line="117" w:lineRule="exact"/>
        <w:rPr>
          <w:rFonts w:ascii="Times New Roman" w:cs="Times New Roman" w:eastAsia="Times New Roman" w:hAnsi="Times New Roman"/>
          <w:sz w:val="18"/>
          <w:szCs w:val="18"/>
          <w:i w:val="1"/>
          <w:iCs w:val="1"/>
          <w:color w:val="auto"/>
        </w:rPr>
      </w:pPr>
    </w:p>
    <w:p>
      <w:pPr>
        <w:ind w:left="348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Appointed Alireza Javadi, Ph.D. as Chief Technical Officer</w:t>
      </w:r>
    </w:p>
    <w:p>
      <w:pPr>
        <w:spacing w:after="0" w:line="117" w:lineRule="exact"/>
        <w:rPr>
          <w:rFonts w:ascii="Times New Roman" w:cs="Times New Roman" w:eastAsia="Times New Roman" w:hAnsi="Times New Roman"/>
          <w:sz w:val="18"/>
          <w:szCs w:val="18"/>
          <w:i w:val="1"/>
          <w:iCs w:val="1"/>
          <w:color w:val="auto"/>
        </w:rPr>
      </w:pPr>
    </w:p>
    <w:p>
      <w:pPr>
        <w:ind w:left="2060" w:hanging="112"/>
        <w:spacing w:after="0"/>
        <w:tabs>
          <w:tab w:leader="none" w:pos="2060" w:val="left"/>
        </w:tabs>
        <w:numPr>
          <w:ilvl w:val="1"/>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Appointed Jesper Høiland as Head of Strategy and Dr. Sara Kenkare-Mitra as a Strategic Advisor –</w:t>
      </w:r>
    </w:p>
    <w:p>
      <w:pPr>
        <w:spacing w:after="0" w:line="11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JOSE, Calif., May 15, 2026 </w:t>
      </w:r>
      <w:r>
        <w:rPr>
          <w:rFonts w:ascii="Times New Roman" w:cs="Times New Roman" w:eastAsia="Times New Roman" w:hAnsi="Times New Roman"/>
          <w:sz w:val="18"/>
          <w:szCs w:val="18"/>
          <w:color w:val="auto"/>
        </w:rPr>
        <w:t>-- Rani Therapeutics Holdings, Inc. (“Rani Therapeutics”; “Rani” or “Company”) (Nasdaq: RANI),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biotherapeutics company focused on the oral delivery of biologics and drugs, today reported financial results for the first quarter ended March 31, 2026, provided a corporate update, and announced a Chief Financial Officer transition.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2026, we strengthened the strategic and scientific foundation of Rani by welcoming two exceptional industry leaders while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to advance our lead metabolic program,” said Talat Imran, Chief Executive Officer of Rani Therapeutics. “The appointments of Jesper Høiland</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as Head of Strategy and Dr. Sara Kenkare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Mitra as Strategic Advisor bring decades of global experience in drug development, commercialization,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portfolio prioritization, expertise that will be instrumental as we evaluate new opportunities for the RaniPill® platform and focus our pipeline on programs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greatest clinical and commercial potential. Their insights come at an important time, as we continue progressing our ongoing Phase 1 trial of</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114, our first obesity program in the clinic, an oral GLP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1/GLP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dual agonist through our partnership with ProGen. With this strengthened leadership</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and the continued advancement of 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114, we believe Rani is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positioned to execute on our 2026 priorities and continue unlocking the potential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oral biologics for patients.”</w:t>
      </w:r>
    </w:p>
    <w:p>
      <w:pPr>
        <w:spacing w:after="0" w:line="36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Rani also today announced that Svai Sanford, Chief Financial Officer, has decided to pursue another professional opportunity and will transition from his role following the appointment of a successor. Mr. Sanford will continue to serve as Chief Financial Officer during a transition period to ensure continuity and support an orderly handover of responsibilities.</w:t>
      </w:r>
    </w:p>
    <w:p>
      <w:pPr>
        <w:spacing w:after="0" w:line="108" w:lineRule="exact"/>
        <w:rPr>
          <w:sz w:val="20"/>
          <w:szCs w:val="20"/>
          <w:color w:val="auto"/>
        </w:rPr>
      </w:pPr>
    </w:p>
    <w:p>
      <w:pPr>
        <w:ind w:right="20"/>
        <w:spacing w:after="0" w:line="232" w:lineRule="exact"/>
        <w:rPr>
          <w:sz w:val="20"/>
          <w:szCs w:val="20"/>
          <w:color w:val="auto"/>
        </w:rPr>
      </w:pPr>
      <w:r>
        <w:rPr>
          <w:rFonts w:ascii="Times New Roman" w:cs="Times New Roman" w:eastAsia="Times New Roman" w:hAnsi="Times New Roman"/>
          <w:sz w:val="18"/>
          <w:szCs w:val="18"/>
          <w:color w:val="auto"/>
        </w:rPr>
        <w:t>During his tenure, Mr. Sanford played a central role in the Company’s financial evolution, including leading the Company through its initial public offering and helping establish a strong financial foundation. He also supported multiple financing initiatives and the expansion of the Company’s investor base, positioning the Company with a solid balance sheet and a diversified group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shareholders.</w:t>
      </w:r>
    </w:p>
    <w:p>
      <w:pPr>
        <w:spacing w:after="0" w:line="9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“Svai has been a key leader during a period of significant transformation for the Company,” said Talat Imran, CEO. “His leadership through the IPO and subsequent financing efforts strengthened our financial position and set the Company up well for its next phase of growth. We are grateful for his contributions and appreciate his commitment to supporting a smooth transition.”</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Mr. Sanford’s departure is not the result of any disagreement with the Company on any matter relating to the Company's financial operations, policies or practices.</w:t>
      </w:r>
    </w:p>
    <w:p>
      <w:pPr>
        <w:spacing w:after="0" w:line="53" w:lineRule="exact"/>
        <w:rPr>
          <w:sz w:val="20"/>
          <w:szCs w:val="20"/>
          <w:color w:val="auto"/>
        </w:rPr>
      </w:pPr>
    </w:p>
    <w:p>
      <w:pPr>
        <w:ind w:right="20"/>
        <w:spacing w:after="0" w:line="236" w:lineRule="exact"/>
        <w:rPr>
          <w:sz w:val="20"/>
          <w:szCs w:val="20"/>
          <w:color w:val="auto"/>
        </w:rPr>
      </w:pPr>
      <w:r>
        <w:rPr>
          <w:rFonts w:ascii="Times New Roman" w:cs="Times New Roman" w:eastAsia="Times New Roman" w:hAnsi="Times New Roman"/>
          <w:sz w:val="18"/>
          <w:szCs w:val="18"/>
          <w:color w:val="auto"/>
        </w:rPr>
        <w:t>“I’m proud of what we’ve accomplished together,” said Mr. Sanford. “Leading the Company through the IPO and helping to bring in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quality investors was a meaningful experience. With the Company on strong financial footing, this felt like the right time for me to pursue another opportunity. I look forward to supporting the team during the transition and seeing the Company continue to succeed.”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has commenced a search for a successor Chief Financial Officer. Mr. Sanford is expected to remain involved during the transition period to help ensure stability, continuity, and momentum across financial and operational priorities.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333" w:lineRule="exact"/>
        <w:rPr>
          <w:sz w:val="20"/>
          <w:szCs w:val="20"/>
          <w:color w:val="auto"/>
        </w:rPr>
      </w:pPr>
    </w:p>
    <w:p>
      <w:pPr>
        <w:ind w:left="760" w:right="66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advancement of the ongoing Phase 1 study of RT-114 via RaniPill® for the treatment of obesity in collaboration with ProGen. </w:t>
      </w:r>
      <w:r>
        <w:rPr>
          <w:rFonts w:ascii="Times New Roman" w:cs="Times New Roman" w:eastAsia="Times New Roman" w:hAnsi="Times New Roman"/>
          <w:sz w:val="18"/>
          <w:szCs w:val="18"/>
          <w:color w:val="auto"/>
        </w:rPr>
        <w:t>Rani continued advancement of the ongoing Phase 1 clinical trial evaluating the safety, tolerability, bioavailability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pharmacokinetics and pharmacodynamics of single and multiple doses of RT-114.</w:t>
      </w:r>
    </w:p>
    <w:p>
      <w:pPr>
        <w:spacing w:after="0" w:line="62" w:lineRule="exact"/>
        <w:rPr>
          <w:rFonts w:ascii="Times New Roman" w:cs="Times New Roman" w:eastAsia="Times New Roman" w:hAnsi="Times New Roman"/>
          <w:sz w:val="18"/>
          <w:szCs w:val="18"/>
          <w:color w:val="auto"/>
        </w:rPr>
      </w:pPr>
    </w:p>
    <w:p>
      <w:pPr>
        <w:ind w:left="760" w:right="400" w:hanging="378"/>
        <w:spacing w:after="0" w:line="28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Promoted Alireza Javadi, Ph.D. to Chief Technical Officer. </w:t>
      </w:r>
      <w:r>
        <w:rPr>
          <w:rFonts w:ascii="Times New Roman" w:cs="Times New Roman" w:eastAsia="Times New Roman" w:hAnsi="Times New Roman"/>
          <w:sz w:val="18"/>
          <w:szCs w:val="18"/>
          <w:color w:val="auto"/>
        </w:rPr>
        <w:t>In January 2026, Rani announced the promotion of Alireza Javadi, Ph.D.,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Technical Officer.</w:t>
      </w:r>
    </w:p>
    <w:p>
      <w:pPr>
        <w:spacing w:after="0" w:line="46" w:lineRule="exact"/>
        <w:rPr>
          <w:rFonts w:ascii="Times New Roman" w:cs="Times New Roman" w:eastAsia="Times New Roman" w:hAnsi="Times New Roman"/>
          <w:sz w:val="18"/>
          <w:szCs w:val="18"/>
          <w:color w:val="auto"/>
        </w:rPr>
      </w:pPr>
    </w:p>
    <w:p>
      <w:pPr>
        <w:ind w:left="760" w:right="320" w:hanging="378"/>
        <w:spacing w:after="0" w:line="28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Appointed Jesper Høiland as Head of Strategy. </w:t>
      </w:r>
      <w:r>
        <w:rPr>
          <w:rFonts w:ascii="Times New Roman" w:cs="Times New Roman" w:eastAsia="Times New Roman" w:hAnsi="Times New Roman"/>
          <w:sz w:val="18"/>
          <w:szCs w:val="18"/>
          <w:color w:val="auto"/>
        </w:rPr>
        <w:t>In March 2026, Rani announced the appointment of Jesper Høiland as Head of Strategy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corporate and pipeline prioritization.</w:t>
      </w:r>
    </w:p>
    <w:p>
      <w:pPr>
        <w:spacing w:after="0" w:line="46" w:lineRule="exact"/>
        <w:rPr>
          <w:rFonts w:ascii="Times New Roman" w:cs="Times New Roman" w:eastAsia="Times New Roman" w:hAnsi="Times New Roman"/>
          <w:sz w:val="18"/>
          <w:szCs w:val="18"/>
          <w:color w:val="auto"/>
        </w:rPr>
      </w:pPr>
    </w:p>
    <w:p>
      <w:pPr>
        <w:ind w:left="760" w:right="180" w:hanging="378"/>
        <w:spacing w:after="0" w:line="28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Appointed Dr. Sara Kenkare-Mitra as a Strategic Advisor. </w:t>
      </w:r>
      <w:r>
        <w:rPr>
          <w:rFonts w:ascii="Times New Roman" w:cs="Times New Roman" w:eastAsia="Times New Roman" w:hAnsi="Times New Roman"/>
          <w:sz w:val="18"/>
          <w:szCs w:val="18"/>
          <w:color w:val="auto"/>
        </w:rPr>
        <w:t>In April 2026, Rani announced the appointment of Dr. Sara Kenkare-Mitra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Strategic Advisor to advance platform and clinical strategy.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117" w:lineRule="exact"/>
        <w:rPr>
          <w:sz w:val="20"/>
          <w:szCs w:val="20"/>
          <w:color w:val="auto"/>
        </w:rPr>
      </w:pPr>
    </w:p>
    <w:p>
      <w:pPr>
        <w:ind w:left="760" w:hanging="378"/>
        <w:spacing w:after="0" w:line="26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marketable securities </w:t>
      </w:r>
      <w:r>
        <w:rPr>
          <w:rFonts w:ascii="Times New Roman" w:cs="Times New Roman" w:eastAsia="Times New Roman" w:hAnsi="Times New Roman"/>
          <w:sz w:val="18"/>
          <w:szCs w:val="18"/>
          <w:color w:val="auto"/>
        </w:rPr>
        <w:t>as of March 31, 2026 totaled $43.4 million, compared to $49.7 million as of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Rani expects its cash, cash equivalents and marketable securities, including an expected technology transfer milestone payment pursuant to the collaboration and license agreement with Chugai, to be sufficient to fund its operations into the fourth quarter of 2027.</w:t>
      </w:r>
    </w:p>
    <w:p>
      <w:pPr>
        <w:spacing w:after="0" w:line="62" w:lineRule="exact"/>
        <w:rPr>
          <w:rFonts w:ascii="Times New Roman" w:cs="Times New Roman" w:eastAsia="Times New Roman" w:hAnsi="Times New Roman"/>
          <w:sz w:val="18"/>
          <w:szCs w:val="18"/>
          <w:color w:val="auto"/>
        </w:rPr>
      </w:pPr>
    </w:p>
    <w:p>
      <w:pPr>
        <w:ind w:left="760" w:right="340" w:hanging="378"/>
        <w:spacing w:after="0" w:line="28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Contract revenue </w:t>
      </w:r>
      <w:r>
        <w:rPr>
          <w:rFonts w:ascii="Times New Roman" w:cs="Times New Roman" w:eastAsia="Times New Roman" w:hAnsi="Times New Roman"/>
          <w:sz w:val="18"/>
          <w:szCs w:val="18"/>
          <w:color w:val="auto"/>
        </w:rPr>
        <w:t>for the three months ended March 31, 2026 were $1.7 million, compared to $0.2 million for the same period in 2025.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$1.5 million was primarily attributable to the collaboration and license agreement with Chugai.</w:t>
      </w:r>
    </w:p>
    <w:p>
      <w:pPr>
        <w:spacing w:after="0" w:line="46" w:lineRule="exact"/>
        <w:rPr>
          <w:rFonts w:ascii="Times New Roman" w:cs="Times New Roman" w:eastAsia="Times New Roman" w:hAnsi="Times New Roman"/>
          <w:sz w:val="18"/>
          <w:szCs w:val="18"/>
          <w:color w:val="auto"/>
        </w:rPr>
      </w:pPr>
    </w:p>
    <w:p>
      <w:pPr>
        <w:ind w:left="760" w:right="360" w:hanging="378"/>
        <w:spacing w:after="0" w:line="26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for the three months ended March 31, 2026 were $5.2 million, compared to $6.6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2025. The decrease of $1.4 million was primarily attributable to lower compensation costs of $1.1 million and lower facilities, materials and supplies cost of $0.2 million.</w:t>
      </w:r>
    </w:p>
    <w:p>
      <w:pPr>
        <w:spacing w:after="0" w:line="62" w:lineRule="exact"/>
        <w:rPr>
          <w:rFonts w:ascii="Times New Roman" w:cs="Times New Roman" w:eastAsia="Times New Roman" w:hAnsi="Times New Roman"/>
          <w:sz w:val="18"/>
          <w:szCs w:val="18"/>
          <w:color w:val="auto"/>
        </w:rPr>
      </w:pPr>
    </w:p>
    <w:p>
      <w:pPr>
        <w:ind w:left="760" w:right="80" w:hanging="378"/>
        <w:spacing w:after="0" w:line="26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for the three months ended March 31, 2026 were $4.9 million, compared to $5.6 million for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2025. The decrease of $0.7 million was primarily attributed to lower compensation costs of $1.2 million, offset by an increase in third-party services of $0.6 million.</w:t>
      </w:r>
    </w:p>
    <w:p>
      <w:pPr>
        <w:spacing w:after="0" w:line="62" w:lineRule="exact"/>
        <w:rPr>
          <w:rFonts w:ascii="Times New Roman" w:cs="Times New Roman" w:eastAsia="Times New Roman" w:hAnsi="Times New Roman"/>
          <w:sz w:val="18"/>
          <w:szCs w:val="18"/>
          <w:color w:val="auto"/>
        </w:rPr>
      </w:pPr>
    </w:p>
    <w:p>
      <w:pPr>
        <w:ind w:left="760" w:right="180" w:hanging="378"/>
        <w:spacing w:after="0" w:line="317"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Net loss </w:t>
      </w:r>
      <w:r>
        <w:rPr>
          <w:rFonts w:ascii="Times New Roman" w:cs="Times New Roman" w:eastAsia="Times New Roman" w:hAnsi="Times New Roman"/>
          <w:sz w:val="17"/>
          <w:szCs w:val="17"/>
          <w:color w:val="auto"/>
        </w:rPr>
        <w:t>for the three months ended March 31, 2026 was $8.0 million, compared to $12.7 million for the same period in 2025, including stock-based compensation expense of $2.1 million and $3.9 million for the three months ended March 31, 2026 and March 31, 2025, respectively.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Rani Therapeutics</w:t>
      </w:r>
    </w:p>
    <w:p>
      <w:pPr>
        <w:spacing w:after="0" w:line="3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Rani Therapeutics is a clinical-stage biotherapeutics company focused on advancing technologies to enable the development of orally administered biologics and drugs. Rani has developed the RaniPill® capsule, a novel, proprietary and patented platform technology, intended to replace subcutaneous injection or intravenous infusion of biologics and drugs with oral dosing. Rani has successfully conducted several preclinical and clinical studies to evaluate safety, tolerability and bioavailability using RaniPill® capsule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contained in this press release regarding matters that are not historical facts are “forward-looking statements” within the meaning of the Private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Litigation Reform Act of 1995. Such forward-looking statements include statements regarding, among other things, the planned transition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role and the search for a successor, the expected timing and continuity of the transition period, our belief that Rani is</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positioned to execute on 2026 priorities and continue unlocking the potential of oral biologics for patients, Rani’s potential to achieve and receive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milestone payments under the Chugai agreement, the potential of the RaniPill® platform to convert injectable biologics into oral therapies, the sufficiency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Rani’s cash reserves, the timing and extent of its expenses, and future financial performance. Because such statements are subject to risks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uncertainties, actual results may differ materially from those expressed or implied by such forward-looking statements. Words such as “believe,” “intend,”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“expect,” and similar expressions are intended to identify forward-looking statements. These forward-looking statements are based upon Rani’s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expectations and involve assumptions that may never materialize or may prove to be incorrect. Actual results could differ materially from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in such forward-looking statements as a result of various risks and uncertainties, which include, without limitation, risks and uncertainties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associated with Rani’s business in general and the other risks described in Rani’s filings with the Securities and Exchange Commission, including Rani’s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2025, and subsequent filings and reports by Rani. All forward-looking statements contained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press release speak only as of the date on which they were made and are based on management’s assumptions and estimates as of such date. Rani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undertakes no obligation to update such statements to reflect events that occur or circumstances that exist after the date on which they were made, except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by law.</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investors@ranitherapeutics.com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media@ranitherapeutics.com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r>
        <w:rPr>
          <w:rFonts w:ascii="Times New Roman" w:cs="Times New Roman" w:eastAsia="Times New Roman" w:hAnsi="Times New Roman"/>
          <w:sz w:val="18"/>
          <w:szCs w:val="18"/>
          <w:color w:val="auto"/>
        </w:rPr>
        <w:t>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7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9,644</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31,091</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8"/>
                <w:szCs w:val="18"/>
                <w:color w:val="auto"/>
              </w:rPr>
            </w:pPr>
          </w:p>
        </w:tc>
      </w:tr>
      <w:tr>
        <w:trPr>
          <w:trHeight w:val="209"/>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47,091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53,321</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r>
      <w:tr>
        <w:trPr>
          <w:trHeight w:val="250"/>
        </w:trPr>
        <w:tc>
          <w:tcPr>
            <w:tcW w:w="76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51,879</w:t>
            </w:r>
          </w:p>
        </w:tc>
        <w:tc>
          <w:tcPr>
            <w:tcW w:w="10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58,621</w:t>
            </w:r>
          </w:p>
        </w:tc>
        <w:tc>
          <w:tcPr>
            <w:tcW w:w="100" w:type="dxa"/>
            <w:vAlign w:val="bottom"/>
            <w:shd w:val="clear" w:color="auto" w:fill="CFF0FC"/>
          </w:tcPr>
          <w:p>
            <w:pPr>
              <w:spacing w:after="0"/>
              <w:rPr>
                <w:sz w:val="21"/>
                <w:szCs w:val="21"/>
                <w:color w:val="auto"/>
              </w:rPr>
            </w:pPr>
          </w:p>
        </w:tc>
      </w:tr>
      <w:tr>
        <w:trPr>
          <w:trHeight w:val="197"/>
        </w:trPr>
        <w:tc>
          <w:tcPr>
            <w:tcW w:w="7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12,669</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tcPr>
          <w:p>
            <w:pPr>
              <w:spacing w:after="0"/>
              <w:rPr>
                <w:sz w:val="18"/>
                <w:szCs w:val="18"/>
                <w:color w:val="auto"/>
              </w:rPr>
            </w:pPr>
          </w:p>
        </w:tc>
      </w:tr>
      <w:tr>
        <w:trPr>
          <w:trHeight w:val="209"/>
        </w:trPr>
        <w:tc>
          <w:tcPr>
            <w:tcW w:w="76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- 20,000 shares authorized; none issued and outstanding as of March</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31, 2026 and December 31, 2025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- 800,000 shares authorized; 99,813 and 97,622 issued and</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0"/>
                <w:szCs w:val="20"/>
                <w:color w:val="auto"/>
              </w:rPr>
            </w:pPr>
          </w:p>
        </w:tc>
      </w:tr>
      <w:tr>
        <w:trPr>
          <w:trHeight w:val="198"/>
        </w:trPr>
        <w:tc>
          <w:tcPr>
            <w:tcW w:w="7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value - 40,000 shares authorized; 23,970 and 23,970 issued and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March 31, 2026 and December 31, 2025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198"/>
        </w:trPr>
        <w:tc>
          <w:tcPr>
            <w:tcW w:w="7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Class C common stock, $0.0001 par value - 20,000 shares authorized; none issued and outstanding as of</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165,578</w:t>
            </w:r>
          </w:p>
        </w:tc>
        <w:tc>
          <w:tcPr>
            <w:tcW w:w="100" w:type="dxa"/>
            <w:vAlign w:val="bottom"/>
          </w:tcPr>
          <w:p>
            <w:pPr>
              <w:spacing w:after="0"/>
              <w:rPr>
                <w:sz w:val="18"/>
                <w:szCs w:val="18"/>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(loss)/gain</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(139,613)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(132,580)</w:t>
            </w:r>
          </w:p>
        </w:tc>
      </w:tr>
      <w:tr>
        <w:trPr>
          <w:trHeight w:val="210"/>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stockholders' equity attributable to Rani Therapeutics Holdings, Inc.</w:t>
            </w:r>
          </w:p>
        </w:tc>
        <w:tc>
          <w:tcPr>
            <w:tcW w:w="1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33,010</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Pr>
          <w:p>
            <w:pPr>
              <w:spacing w:after="0"/>
              <w:rPr>
                <w:sz w:val="18"/>
                <w:szCs w:val="18"/>
                <w:color w:val="auto"/>
              </w:rPr>
            </w:pPr>
          </w:p>
        </w:tc>
      </w:tr>
      <w:tr>
        <w:trPr>
          <w:trHeight w:val="210"/>
        </w:trPr>
        <w:tc>
          <w:tcPr>
            <w:tcW w:w="76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35,543</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51,879</w:t>
            </w:r>
          </w:p>
        </w:tc>
        <w:tc>
          <w:tcPr>
            <w:tcW w:w="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58,621</w:t>
            </w:r>
          </w:p>
        </w:tc>
        <w:tc>
          <w:tcPr>
            <w:tcW w:w="10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7"/>
        </w:trPr>
        <w:tc>
          <w:tcPr>
            <w:tcW w:w="7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-4851400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-4834255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-4851400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-4834255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-4002405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-4002405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-3436620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-1216660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20" w:type="dxa"/>
            <w:vAlign w:val="bottom"/>
          </w:tcPr>
          <w:p>
            <w:pPr>
              <w:spacing w:after="0"/>
              <w:rPr>
                <w:sz w:val="15"/>
                <w:szCs w:val="15"/>
                <w:color w:val="auto"/>
              </w:rPr>
            </w:pPr>
          </w:p>
        </w:tc>
        <w:tc>
          <w:tcPr>
            <w:tcW w:w="2900" w:type="dxa"/>
            <w:vAlign w:val="bottom"/>
            <w:tcBorders>
              <w:bottom w:val="single" w:sz="8" w:color="auto"/>
            </w:tcBorders>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1000" w:type="dxa"/>
            <w:vAlign w:val="bottom"/>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81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2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10,047</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18"/>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(8,339)</w:t>
            </w:r>
          </w:p>
        </w:tc>
        <w:tc>
          <w:tcPr>
            <w:tcW w:w="9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(12,013)</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10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(8,015)</w:t>
            </w:r>
          </w:p>
        </w:tc>
        <w:tc>
          <w:tcPr>
            <w:tcW w:w="980" w:type="dxa"/>
            <w:vAlign w:val="bottom"/>
          </w:tcPr>
          <w:p>
            <w:pPr>
              <w:jc w:val="right"/>
              <w:ind w:right="81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(12,738)</w:t>
            </w:r>
          </w:p>
        </w:tc>
        <w:tc>
          <w:tcPr>
            <w:tcW w:w="0" w:type="dxa"/>
            <w:vAlign w:val="bottom"/>
          </w:tcPr>
          <w:p>
            <w:pPr>
              <w:spacing w:after="0"/>
              <w:rPr>
                <w:sz w:val="1"/>
                <w:szCs w:val="1"/>
                <w:color w:val="auto"/>
              </w:rPr>
            </w:pPr>
          </w:p>
        </w:tc>
      </w:tr>
      <w:tr>
        <w:trPr>
          <w:trHeight w:val="216"/>
        </w:trPr>
        <w:tc>
          <w:tcPr>
            <w:tcW w:w="7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0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(982)</w:t>
            </w: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(5,474)</w:t>
            </w:r>
          </w:p>
        </w:tc>
        <w:tc>
          <w:tcPr>
            <w:tcW w:w="0" w:type="dxa"/>
            <w:vAlign w:val="bottom"/>
          </w:tcPr>
          <w:p>
            <w:pPr>
              <w:spacing w:after="0"/>
              <w:rPr>
                <w:sz w:val="1"/>
                <w:szCs w:val="1"/>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1000" w:type="dxa"/>
            <w:vAlign w:val="bottom"/>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(7,033)</w:t>
            </w:r>
          </w:p>
        </w:tc>
        <w:tc>
          <w:tcPr>
            <w:tcW w:w="980" w:type="dxa"/>
            <w:vAlign w:val="bottom"/>
          </w:tcPr>
          <w:p>
            <w:pPr>
              <w:jc w:val="right"/>
              <w:ind w:right="81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(7,264)</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620" w:type="dxa"/>
            <w:vAlign w:val="bottom"/>
            <w:shd w:val="clear" w:color="auto" w:fill="CFF0FC"/>
          </w:tcPr>
          <w:p>
            <w:pPr>
              <w:ind w:left="80"/>
              <w:spacing w:after="0" w:line="178" w:lineRule="exact"/>
              <w:rPr>
                <w:sz w:val="20"/>
                <w:szCs w:val="20"/>
                <w:color w:val="auto"/>
              </w:rPr>
            </w:pPr>
            <w:r>
              <w:rPr>
                <w:rFonts w:ascii="Times New Roman" w:cs="Times New Roman" w:eastAsia="Times New Roman" w:hAnsi="Times New Roman"/>
                <w:sz w:val="18"/>
                <w:szCs w:val="18"/>
                <w:color w:val="auto"/>
              </w:rPr>
              <w:t>Net loss per Class A common share attributable to Rani Therapeutics Holdings, Inc., basic and</w:t>
            </w:r>
          </w:p>
        </w:tc>
        <w:tc>
          <w:tcPr>
            <w:tcW w:w="1000" w:type="dxa"/>
            <w:vAlign w:val="bottom"/>
            <w:vMerge w:val="restart"/>
            <w:shd w:val="clear" w:color="auto" w:fill="CFF0FC"/>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980" w:type="dxa"/>
            <w:vAlign w:val="bottom"/>
            <w:vMerge w:val="restart"/>
            <w:shd w:val="clear" w:color="auto" w:fill="CFF0FC"/>
          </w:tcPr>
          <w:p>
            <w:pPr>
              <w:jc w:val="right"/>
              <w:ind w:right="818"/>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4"/>
        </w:trPr>
        <w:tc>
          <w:tcPr>
            <w:tcW w:w="7620" w:type="dxa"/>
            <w:vAlign w:val="bottom"/>
            <w:shd w:val="clear" w:color="auto" w:fill="CFF0FC"/>
          </w:tcPr>
          <w:p>
            <w:pPr>
              <w:ind w:left="8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000" w:type="dxa"/>
            <w:vAlign w:val="bottom"/>
            <w:vMerge w:val="continue"/>
            <w:shd w:val="clear" w:color="auto" w:fill="CFF0FC"/>
          </w:tcPr>
          <w:p>
            <w:pPr>
              <w:spacing w:after="0"/>
              <w:rPr>
                <w:sz w:val="20"/>
                <w:szCs w:val="20"/>
                <w:color w:val="auto"/>
              </w:rPr>
            </w:pPr>
          </w:p>
        </w:tc>
        <w:tc>
          <w:tcPr>
            <w:tcW w:w="920" w:type="dxa"/>
            <w:vAlign w:val="bottom"/>
            <w:gridSpan w:val="2"/>
            <w:vMerge w:val="continue"/>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7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6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Class A common shares outstanding—basic and diluted</w:t>
            </w:r>
          </w:p>
        </w:tc>
        <w:tc>
          <w:tcPr>
            <w:tcW w:w="10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179,996</w:t>
            </w:r>
          </w:p>
        </w:tc>
        <w:tc>
          <w:tcPr>
            <w:tcW w:w="280" w:type="dxa"/>
            <w:vAlign w:val="bottom"/>
            <w:tcBorders>
              <w:top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33,440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7"/>
        </w:trPr>
        <w:tc>
          <w:tcPr>
            <w:tcW w:w="7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-2652395</wp:posOffset>
            </wp:positionV>
            <wp:extent cx="9398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-2652395</wp:posOffset>
            </wp:positionV>
            <wp:extent cx="9398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-1936750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-1653540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-1233805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-1216660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2026-05-15T15:25:49Z</dcterms:created>
  <dcterms:modified xsi:type="dcterms:W3CDTF">2026-05-15T15:25:49Z</dcterms:modified>
</cp:coreProperties>
</file>