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6995160" cy="43059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16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Sanford Svai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78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Rani Therapeutics Holdings,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RANI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restart"/>
          </w:tcPr>
          <w:p>
            <w:pPr>
              <w:ind w:left="1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2051 RINGWOOD AVE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0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55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10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0.6168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05/23/2025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05/22/2035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325,000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-1829435</wp:posOffset>
            </wp:positionV>
            <wp:extent cx="28575" cy="18345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3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shares subject to the option vest as follows: 1/48th of the shares subject to the option vest monthly over four years from May 23, 2025.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Svai Sanford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05/23/2025</w:t>
            </w:r>
          </w:p>
        </w:tc>
      </w:tr>
      <w:tr>
        <w:trPr>
          <w:trHeight w:val="20"/>
        </w:trPr>
        <w:tc>
          <w:tcPr>
            <w:tcW w:w="6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91"/>
        </w:trPr>
        <w:tc>
          <w:tcPr>
            <w:tcW w:w="8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91411" TargetMode="External"/><Relationship Id="rId14" Type="http://schemas.openxmlformats.org/officeDocument/2006/relationships/hyperlink" Target="http://www.sec.gov/cgi-bin/browse-edgar?action=getcompany&amp;CIK=0001856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2025-05-23T16:59:52Z</dcterms:created>
  <dcterms:modified xsi:type="dcterms:W3CDTF">2025-05-23T16:59:52Z</dcterms:modified>
</cp:coreProperties>
</file>