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70580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705802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Javadi Alireza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80" w:type="dxa"/>
            <w:vAlign w:val="bottom"/>
            <w:tcBorders>
              <w:top w:val="single" w:sz="8" w:color="0000EE"/>
              <w:bottom w:val="single" w:sz="8" w:color="9A9A9A"/>
            </w:tcBorders>
          </w:tcPr>
          <w:p>
            <w:pPr>
              <w:spacing w:after="0"/>
              <w:rPr>
                <w:sz w:val="17"/>
                <w:szCs w:val="17"/>
                <w:color w:val="auto"/>
              </w:rPr>
            </w:pPr>
          </w:p>
        </w:tc>
        <w:tc>
          <w:tcPr>
            <w:tcW w:w="16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Rani Therapeutics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RANI</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RANI THERAPEUTICS</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HOLDINGS, INC.</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2051 RINGWOOD AVENUE</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SAN JOSE  CA</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95131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Technical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10,075</w:t>
            </w:r>
            <w:r>
              <w:rPr>
                <w:rFonts w:ascii="Times New Roman" w:cs="Times New Roman" w:eastAsia="Times New Roman" w:hAnsi="Times New Roman"/>
                <w:sz w:val="25"/>
                <w:szCs w:val="25"/>
                <w:color w:val="008000"/>
                <w:vertAlign w:val="superscript"/>
              </w:rPr>
              <w:t>(1)</w:t>
            </w:r>
          </w:p>
        </w:tc>
        <w:tc>
          <w:tcPr>
            <w:tcW w:w="9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20" w:type="dxa"/>
            <w:vAlign w:val="bottom"/>
            <w:gridSpan w:val="2"/>
          </w:tcPr>
          <w:p>
            <w:pPr>
              <w:ind w:left="14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03/21/2032</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60" w:type="dxa"/>
            <w:vAlign w:val="bottom"/>
            <w:vMerge w:val="restart"/>
          </w:tcPr>
          <w:p>
            <w:pPr>
              <w:jc w:val="center"/>
              <w:ind w:left="12"/>
              <w:spacing w:after="0"/>
              <w:rPr>
                <w:sz w:val="20"/>
                <w:szCs w:val="20"/>
                <w:color w:val="auto"/>
              </w:rPr>
            </w:pPr>
            <w:r>
              <w:rPr>
                <w:rFonts w:ascii="Times New Roman" w:cs="Times New Roman" w:eastAsia="Times New Roman" w:hAnsi="Times New Roman"/>
                <w:sz w:val="20"/>
                <w:szCs w:val="20"/>
                <w:color w:val="0000FF"/>
                <w:w w:val="97"/>
              </w:rPr>
              <w:t>9,166</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13.21</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03/26/2033</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60" w:type="dxa"/>
            <w:vAlign w:val="bottom"/>
            <w:vMerge w:val="restart"/>
          </w:tcPr>
          <w:p>
            <w:pPr>
              <w:jc w:val="center"/>
              <w:ind w:left="12"/>
              <w:spacing w:after="0"/>
              <w:rPr>
                <w:sz w:val="20"/>
                <w:szCs w:val="20"/>
                <w:color w:val="auto"/>
              </w:rPr>
            </w:pPr>
            <w:r>
              <w:rPr>
                <w:rFonts w:ascii="Times New Roman" w:cs="Times New Roman" w:eastAsia="Times New Roman" w:hAnsi="Times New Roman"/>
                <w:sz w:val="20"/>
                <w:szCs w:val="20"/>
                <w:color w:val="0000FF"/>
                <w:w w:val="97"/>
              </w:rPr>
              <w:t>3,416</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5.44</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12/14/2033</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10,834</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2.84</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12/14/2033</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17,084</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2.84</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03/20/2034</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40,750</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3.6</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05/22/2035</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159,000</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0.6168</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2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4,297 shares of restricted stock units (RSUs) subject to vesting in equal monthly installments beginning June 27, 2023 through March 27, 2027 and Reporting Person's Continuous Service (as defined in the Issuer's 2021 Equity Incentive Plan) as of each vesting date. Each RSU represents a contingent right to receive one share of common stock of the Issuer.</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subject to the option are fully vested.</w:t>
      </w:r>
    </w:p>
    <w:p>
      <w:pPr>
        <w:spacing w:after="0" w:line="52" w:lineRule="exact"/>
        <w:rPr>
          <w:rFonts w:ascii="Times New Roman" w:cs="Times New Roman" w:eastAsia="Times New Roman" w:hAnsi="Times New Roman"/>
          <w:sz w:val="15"/>
          <w:szCs w:val="15"/>
          <w:color w:val="008000"/>
        </w:rPr>
      </w:pPr>
    </w:p>
    <w:p>
      <w:pPr>
        <w:ind w:left="40" w:right="1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subject to this option vest 1/48th monthly over a four-year period beginning on December 27, 2023, subject to the Reporting Person's Continuous Service (as defined in the Issuer's 2021 Equity Incentive Plan) with the Company through each vesting date.</w:t>
      </w:r>
    </w:p>
    <w:p>
      <w:pPr>
        <w:spacing w:after="0" w:line="17" w:lineRule="exact"/>
        <w:rPr>
          <w:rFonts w:ascii="Times New Roman" w:cs="Times New Roman" w:eastAsia="Times New Roman" w:hAnsi="Times New Roman"/>
          <w:sz w:val="15"/>
          <w:szCs w:val="15"/>
          <w:color w:val="008000"/>
        </w:rPr>
      </w:pPr>
    </w:p>
    <w:p>
      <w:pPr>
        <w:ind w:left="40" w:right="2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subject to this option vest 25% each year over a four-year period beginning on March 21, 2024, subject to the Reporting Person's Continuous Service (as defined in the Issuer's 2021 Equity Incentive Plan) with the Company through each vesting date.</w:t>
      </w:r>
    </w:p>
    <w:p>
      <w:pPr>
        <w:spacing w:after="0" w:line="17" w:lineRule="exact"/>
        <w:rPr>
          <w:rFonts w:ascii="Times New Roman" w:cs="Times New Roman" w:eastAsia="Times New Roman" w:hAnsi="Times New Roman"/>
          <w:sz w:val="15"/>
          <w:szCs w:val="15"/>
          <w:color w:val="008000"/>
        </w:rPr>
      </w:pPr>
    </w:p>
    <w:p>
      <w:pPr>
        <w:ind w:left="40" w:right="140" w:firstLine="5"/>
        <w:spacing w:after="0" w:line="24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subject to this option vest 25% each year over a four-year period beginning on May 23, 2025, subject to the Reporting Person's Continuous Service (as defined in the Issuer's 2021 Equity Incentive Plan) with the Company through each vesting date.</w:t>
      </w:r>
    </w:p>
    <w:p>
      <w:pPr>
        <w:sectPr>
          <w:pgSz w:w="11900" w:h="16838" w:orient="portrait"/>
          <w:cols w:equalWidth="0" w:num="1">
            <w:col w:w="10940"/>
          </w:cols>
          <w:pgMar w:left="480" w:top="230" w:right="479" w:bottom="0" w:gutter="0" w:footer="0" w:header="0"/>
          <w:type w:val="continuous"/>
        </w:sectPr>
      </w:pPr>
    </w:p>
    <w:p>
      <w:pPr>
        <w:ind w:left="6580"/>
        <w:spacing w:after="0" w:line="187" w:lineRule="auto"/>
        <w:rPr>
          <w:sz w:val="20"/>
          <w:szCs w:val="20"/>
          <w:color w:val="auto"/>
        </w:rPr>
      </w:pPr>
      <w:r>
        <w:rPr>
          <w:rFonts w:ascii="Times New Roman" w:cs="Times New Roman" w:eastAsia="Times New Roman" w:hAnsi="Times New Roman"/>
          <w:sz w:val="18"/>
          <w:szCs w:val="18"/>
          <w:color w:val="0000FF"/>
        </w:rPr>
        <w:t xml:space="preserve">/s/ Svai Sanford, Attorney- </w:t>
      </w:r>
      <w:r>
        <w:rPr>
          <w:rFonts w:ascii="Times New Roman" w:cs="Times New Roman" w:eastAsia="Times New Roman" w:hAnsi="Times New Roman"/>
          <w:sz w:val="36"/>
          <w:szCs w:val="36"/>
          <w:color w:val="0000FF"/>
          <w:vertAlign w:val="subscript"/>
        </w:rPr>
        <w:t>03/27/2026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-31750</wp:posOffset>
            </wp:positionV>
            <wp:extent cx="13347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3477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-25400</wp:posOffset>
            </wp:positionV>
            <wp:extent cx="35052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50520" cy="9525"/>
                    </a:xfrm>
                    <a:prstGeom prst="rect">
                      <a:avLst/>
                    </a:prstGeom>
                    <a:noFill/>
                  </pic:spPr>
                </pic:pic>
              </a:graphicData>
            </a:graphic>
          </wp:anchor>
        </w:drawing>
        <w:drawing>
          <wp:anchor simplePos="0" relativeHeight="251657728" behindDoc="1" locked="0" layoutInCell="0" allowOverlap="1">
            <wp:simplePos x="0" y="0"/>
            <wp:positionH relativeFrom="column">
              <wp:posOffset>5565140</wp:posOffset>
            </wp:positionH>
            <wp:positionV relativeFrom="paragraph">
              <wp:posOffset>-101600</wp:posOffset>
            </wp:positionV>
            <wp:extent cx="56451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type w:val="continuous"/>
        </w:sectPr>
      </w:pPr>
    </w:p>
    <w:bookmarkStart w:id="1" w:name="page2"/>
    <w:bookmarkEnd w:id="1"/>
    <w:p>
      <w:pPr>
        <w:ind w:left="6540"/>
        <w:spacing w:after="0"/>
        <w:rPr>
          <w:sz w:val="20"/>
          <w:szCs w:val="20"/>
          <w:color w:val="auto"/>
        </w:rPr>
      </w:pPr>
      <w:r>
        <w:rPr>
          <w:rFonts w:ascii="Arial" w:cs="Arial" w:eastAsia="Arial" w:hAnsi="Arial"/>
          <w:sz w:val="15"/>
          <w:szCs w:val="15"/>
          <w:color w:val="auto"/>
        </w:rPr>
        <w:t>** Signature of Reporting</w:t>
      </w:r>
    </w:p>
    <w:p>
      <w:pPr>
        <w:spacing w:after="0" w:line="6"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Person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Date</w:t>
      </w:r>
    </w:p>
    <w:p>
      <w:pPr>
        <w:spacing w:after="0" w:line="667" w:lineRule="exact"/>
        <w:rPr>
          <w:sz w:val="20"/>
          <w:szCs w:val="20"/>
          <w:color w:val="auto"/>
        </w:rPr>
      </w:pPr>
    </w:p>
    <w:p>
      <w:pPr>
        <w:sectPr>
          <w:pgSz w:w="11900" w:h="16838" w:orient="portrait"/>
          <w:cols w:equalWidth="0" w:num="2">
            <w:col w:w="8200" w:space="520"/>
            <w:col w:w="2100"/>
          </w:cols>
          <w:pgMar w:left="520" w:top="125" w:right="559" w:bottom="1440" w:gutter="0" w:footer="0" w:header="0"/>
        </w:sect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2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Talat Imran, Carlos Perez and Svai Sanford of Rani Therapeutics Holdings, Inc., or either of them signing singly, with full power of substitution, the undersigned's true and lawful attorney in fact to:</w:t>
      </w:r>
    </w:p>
    <w:p>
      <w:pPr>
        <w:spacing w:after="0" w:line="218" w:lineRule="exact"/>
        <w:rPr>
          <w:sz w:val="20"/>
          <w:szCs w:val="20"/>
          <w:color w:val="auto"/>
        </w:rPr>
      </w:pPr>
    </w:p>
    <w:p>
      <w:pPr>
        <w:jc w:val="both"/>
        <w:ind w:left="720" w:hanging="360"/>
        <w:spacing w:after="0" w:line="245" w:lineRule="auto"/>
        <w:tabs>
          <w:tab w:leader="none" w:pos="69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director or beneficial owner of more than 10% of a registered class of securities of Rani Therapeutics Holdings, Inc. (the “</w:t>
      </w:r>
      <w:r>
        <w:rPr>
          <w:rFonts w:ascii="Times New Roman" w:cs="Times New Roman" w:eastAsia="Times New Roman" w:hAnsi="Times New Roman"/>
          <w:sz w:val="24"/>
          <w:szCs w:val="24"/>
          <w:b w:val="1"/>
          <w:bCs w:val="1"/>
          <w:i w:val="1"/>
          <w:iCs w:val="1"/>
          <w:color w:val="auto"/>
        </w:rPr>
        <w:t>Company</w:t>
      </w:r>
      <w:r>
        <w:rPr>
          <w:rFonts w:ascii="Times New Roman" w:cs="Times New Roman" w:eastAsia="Times New Roman" w:hAnsi="Times New Roman"/>
          <w:sz w:val="24"/>
          <w:szCs w:val="24"/>
          <w:color w:val="auto"/>
        </w:rPr>
        <w:t>”), Forms 3, 4 and 5 (including any amendments thereto) in accordance with Section 16(a) of the Securities Exchange Act of 1934, as amended (the “</w:t>
      </w:r>
      <w:r>
        <w:rPr>
          <w:rFonts w:ascii="Times New Roman" w:cs="Times New Roman" w:eastAsia="Times New Roman" w:hAnsi="Times New Roman"/>
          <w:sz w:val="24"/>
          <w:szCs w:val="24"/>
          <w:b w:val="1"/>
          <w:bCs w:val="1"/>
          <w:i w:val="1"/>
          <w:iCs w:val="1"/>
          <w:color w:val="auto"/>
        </w:rPr>
        <w:t>Exchange Act</w:t>
      </w:r>
      <w:r>
        <w:rPr>
          <w:rFonts w:ascii="Times New Roman" w:cs="Times New Roman" w:eastAsia="Times New Roman" w:hAnsi="Times New Roman"/>
          <w:sz w:val="24"/>
          <w:szCs w:val="24"/>
          <w:color w:val="auto"/>
        </w:rPr>
        <w:t>”).</w:t>
      </w:r>
    </w:p>
    <w:p>
      <w:pPr>
        <w:spacing w:after="0" w:line="200" w:lineRule="exact"/>
        <w:rPr>
          <w:rFonts w:ascii="Times New Roman" w:cs="Times New Roman" w:eastAsia="Times New Roman" w:hAnsi="Times New Roman"/>
          <w:sz w:val="24"/>
          <w:szCs w:val="24"/>
          <w:color w:val="auto"/>
        </w:rPr>
      </w:pPr>
    </w:p>
    <w:p>
      <w:pPr>
        <w:spacing w:after="0" w:line="200" w:lineRule="exact"/>
        <w:rPr>
          <w:rFonts w:ascii="Times New Roman" w:cs="Times New Roman" w:eastAsia="Times New Roman" w:hAnsi="Times New Roman"/>
          <w:sz w:val="24"/>
          <w:szCs w:val="24"/>
          <w:color w:val="auto"/>
        </w:rPr>
      </w:pPr>
    </w:p>
    <w:p>
      <w:pPr>
        <w:spacing w:after="0" w:line="303" w:lineRule="exact"/>
        <w:rPr>
          <w:rFonts w:ascii="Times New Roman" w:cs="Times New Roman" w:eastAsia="Times New Roman" w:hAnsi="Times New Roman"/>
          <w:sz w:val="24"/>
          <w:szCs w:val="24"/>
          <w:color w:val="auto"/>
        </w:rPr>
      </w:pPr>
    </w:p>
    <w:p>
      <w:pPr>
        <w:jc w:val="both"/>
        <w:ind w:left="720" w:hanging="360"/>
        <w:spacing w:after="0" w:line="250" w:lineRule="auto"/>
        <w:tabs>
          <w:tab w:leader="none" w:pos="69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execute such Forms 3, 4 or 5 (including any amendments thereto) and timely file such forms with the United States Securities and Exchange Commission and any stock exchange or similar authority; and</w:t>
      </w:r>
    </w:p>
    <w:p>
      <w:pPr>
        <w:spacing w:after="0" w:line="200" w:lineRule="exact"/>
        <w:rPr>
          <w:rFonts w:ascii="Times New Roman" w:cs="Times New Roman" w:eastAsia="Times New Roman" w:hAnsi="Times New Roman"/>
          <w:sz w:val="24"/>
          <w:szCs w:val="24"/>
          <w:color w:val="auto"/>
        </w:rPr>
      </w:pPr>
    </w:p>
    <w:p>
      <w:pPr>
        <w:spacing w:after="0" w:line="258" w:lineRule="exact"/>
        <w:rPr>
          <w:rFonts w:ascii="Times New Roman" w:cs="Times New Roman" w:eastAsia="Times New Roman" w:hAnsi="Times New Roman"/>
          <w:sz w:val="24"/>
          <w:szCs w:val="24"/>
          <w:color w:val="auto"/>
        </w:rPr>
      </w:pPr>
    </w:p>
    <w:p>
      <w:pPr>
        <w:jc w:val="both"/>
        <w:ind w:left="720" w:right="20" w:hanging="360"/>
        <w:spacing w:after="0" w:line="242" w:lineRule="auto"/>
        <w:tabs>
          <w:tab w:leader="none" w:pos="69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3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w:t>
      </w:r>
    </w:p>
    <w:p>
      <w:pPr>
        <w:spacing w:after="0" w:line="22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4"/>
          <w:szCs w:val="24"/>
          <w:b w:val="1"/>
          <w:bCs w:val="1"/>
          <w:color w:val="auto"/>
        </w:rPr>
        <w:t>IN WITNESS WHEREOF</w:t>
      </w:r>
      <w:r>
        <w:rPr>
          <w:rFonts w:ascii="Times New Roman" w:cs="Times New Roman" w:eastAsia="Times New Roman" w:hAnsi="Times New Roman"/>
          <w:sz w:val="24"/>
          <w:szCs w:val="24"/>
          <w:color w:val="auto"/>
        </w:rPr>
        <w:t>, the undersigned has caused this Power of Attorney to be executed as of</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this 26th day of March 2026.</w:t>
      </w:r>
    </w:p>
    <w:p>
      <w:pPr>
        <w:spacing w:after="0" w:line="200" w:lineRule="exact"/>
        <w:rPr>
          <w:sz w:val="20"/>
          <w:szCs w:val="20"/>
          <w:color w:val="auto"/>
        </w:rPr>
      </w:pPr>
    </w:p>
    <w:p>
      <w:pPr>
        <w:spacing w:after="0" w:line="25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4"/>
          <w:szCs w:val="24"/>
          <w:i w:val="1"/>
          <w:iCs w:val="1"/>
          <w:u w:val="single" w:color="auto"/>
          <w:color w:val="auto"/>
        </w:rPr>
        <w:t>/s/ Alireza Javadi</w:t>
      </w:r>
    </w:p>
    <w:p>
      <w:pPr>
        <w:spacing w:after="0" w:line="2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4"/>
          <w:szCs w:val="24"/>
          <w:color w:val="auto"/>
        </w:rPr>
        <w:t>Alireza Javadi</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23843" TargetMode="External"/><Relationship Id="rId11"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2026-03-27T18:50:20Z</dcterms:created>
  <dcterms:modified xsi:type="dcterms:W3CDTF">2026-03-27T18:50:20Z</dcterms:modified>
</cp:coreProperties>
</file>