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IMRAN MIR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RANI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RANI THERAPEUTICS LLC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2051 RINGWOOD AVE.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827,467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02/03/2022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67,707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(3)(4)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67,707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See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Biologix Partners, LP and VH Rani, LP. distributed these shares to its limited partners on a pro rata basis, for no consideration.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previously held 378,564 shares of Class A Common Stock of the Issuer ("Class A Shares") held by Biologix Partners, LP and 448,903 Class A Shares held by VH Rani, LP.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InCube Ventures II, L.P., is the limited partner of Biologix Partners, LP and VH Rani, LP. InCube Ventures II, L.P. therefore received 12,289 Class A Shares distributed by Biologix Partners, LP and 41,495 Class A Shares distributed by VH Rani, LP. and now owns those shares directly. The Reporting Person disclaims beneficial ownership of these securities except to the extent of his pecuniary interest therein.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InCube Labs, L.L.C., is the limited partner of Biologix Partners, LP and VH Rani, LP. InCube Labs, L.L.C. therefore received 3,181 Class A Shares distributed by Biologix Partners, LP and 10,742 Class A Shares distributed by VH Rani, LP. and now owns those shares directly. The Reporting Person disclaims beneficial ownership of these securities except to the extent of his pecuniary interest therein.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 Seidenfeld,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Mir Imran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31686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2022-02-07T21:24:27Z</dcterms:created>
  <dcterms:modified xsi:type="dcterms:W3CDTF">2022-02-07T21:24:27Z</dcterms:modified>
</cp:coreProperties>
</file>