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On August 24, 2022, Rani Therapeutics Holdings, Inc., a Delaware corporation, or Rani, entered into a Controlled Equity</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Sales Agreement, with Cantor Fitzgerald &amp; Co. and H.C. Wainwright &amp; Co., LLC, collectively the Agents, pursuant to which Rani may offer and sell from time to time through the Agents up to $150 million of shares of its Class A common stock, par value $0.0001 per share, in such share amounts as Rani may specify by notice to the Agents, in accordance with the terms and conditions set forth in the Sales Agreement.</w:t>
      </w:r>
    </w:p>
    <w:p>
      <w:pPr>
        <w:spacing w:after="0" w:line="19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Upon delivery of a placement notice to one of the Agents and subject to the terms and conditions of the Sales Agreement, sales of the shares may be made by any method permitted by law deemed to be “at the market offerings” as defined in Rule 415(a)(4) under the Securities Act of 1933, as amended, or the Securities Act, including sales made directly on the Nasdaq Stock Market or in negotiated transactions at market prices prevailing at the time of sale or at prices related to such prevailing market prices and/or any other method permitted by law. Under the Sales Agreement, Rani will set the parameters for the sale of the shares, including the number of shares to be issued, the time period during which sales are requested to be made, any limitation on the number of shares that may be sold in any one trading day and any minimum price below which sales may not be made. Rani is not obligated to sell any shares under the Sales Agreement.</w:t>
      </w:r>
    </w:p>
    <w:p>
      <w:pPr>
        <w:spacing w:after="0" w:line="189" w:lineRule="exact"/>
        <w:rPr>
          <w:sz w:val="20"/>
          <w:szCs w:val="20"/>
          <w:color w:val="auto"/>
        </w:rPr>
      </w:pPr>
    </w:p>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t>The shares will be offered and sold pursuant to Rani’s shelf registration statement on Form S-3 (File No. 333-266444), which was declared effective by the Securities and Exchange Commission on August 10, 2022. Rani filed a prospectus supplement, dated August 24, 2022, with the Securities and Exchange Commission in connection with the offer and sale of the shares.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Sales Agreement contains customary representations, warranties and agreements by Rani, and indemnification rights and obligations of the parties. The Sales Agreement provides that the Agents will be entitled to compensation for their services of up to 3.0% of the gross sales price per share of the shares sold through the Agents. Rani has agreed to indemnify the Agents against certain specified types of liabilities, including liabilities under the Securities Act, to contribute to payments the Agents may be required to make in respect of these liabilities, and to reimburse the Agents for certain expenses. We or the Agents may suspend or terminate the Sales Agreement upon 10 days’ written notice to the other party for any reason or at any time under certain circumstances, including but not limited to the occurrence of a material adverse change related to Rani.</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above summary of the Sales Agreement does not purport to be complete and is qualified in its entirety by reference to the Sales Agreement, a copy which is attached as Exhibit 1.1 to this Current Report on Form 8-K and incorporated herein by reference. The legal opinion of Cooley LLP relating to the shares of Class A Common Stock being offered pursuant to the Sales Agreement is filed as Exhibit 5.1 to this Current Report on Form 8-K.</w:t>
      </w:r>
    </w:p>
    <w:p>
      <w:pPr>
        <w:spacing w:after="0" w:line="180"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Class A Common Stock discussed herein, nor shall there be any offer, solicitation, or sale of Class A Common Stock in any state or jurisdiction in which such offer, solicitation or sale would be unlawful prior to registration or qualification under the securities laws of any such state or jurisdiction.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80" w:type="dxa"/>
            <w:vAlign w:val="bottom"/>
            <w:gridSpan w:val="4"/>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6"/>
        </w:trPr>
        <w:tc>
          <w:tcPr>
            <w:tcW w:w="50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9"/>
                <w:szCs w:val="19"/>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Controlled Equity</w:t>
            </w:r>
          </w:p>
        </w:tc>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838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EE"/>
                <w:w w:val="99"/>
              </w:rPr>
              <w:t>Sales Agreement, dated August 24, 2022, by and among Rani Therapeutics Holdings, Inc., and Cantor Fitzgerald &amp;</w:t>
            </w: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380" w:type="dxa"/>
            <w:vAlign w:val="bottom"/>
            <w:tcBorders>
              <w:bottom w:val="single" w:sz="8" w:color="0000EE"/>
            </w:tcBorders>
            <w:gridSpan w:val="6"/>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 and H.C. Wainwright &amp; Co., LLC.</w:t>
            </w: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1040" w:type="dxa"/>
            <w:vAlign w:val="bottom"/>
            <w:tcBorders>
              <w:top w:val="single" w:sz="8" w:color="0000EE"/>
            </w:tcBorders>
          </w:tcPr>
          <w:p>
            <w:pPr>
              <w:spacing w:after="0"/>
              <w:rPr>
                <w:sz w:val="24"/>
                <w:szCs w:val="24"/>
                <w:color w:val="auto"/>
              </w:rPr>
            </w:pPr>
          </w:p>
        </w:tc>
        <w:tc>
          <w:tcPr>
            <w:tcW w:w="70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95"/>
              </w:rPr>
              <w:t>23.1</w:t>
            </w:r>
          </w:p>
        </w:tc>
        <w:tc>
          <w:tcPr>
            <w:tcW w:w="540" w:type="dxa"/>
            <w:vAlign w:val="bottom"/>
          </w:tcPr>
          <w:p>
            <w:pPr>
              <w:spacing w:after="0"/>
              <w:rPr>
                <w:sz w:val="24"/>
                <w:szCs w:val="24"/>
                <w:color w:val="auto"/>
              </w:rPr>
            </w:pPr>
          </w:p>
        </w:tc>
        <w:tc>
          <w:tcPr>
            <w:tcW w:w="5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with the opinion filed as Exhibit 5.1).</w:t>
            </w:r>
          </w:p>
        </w:tc>
        <w:tc>
          <w:tcPr>
            <w:tcW w:w="4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26"/>
          <w:szCs w:val="26"/>
          <w:b w:val="1"/>
          <w:bCs w:val="1"/>
          <w:color w:val="auto"/>
          <w:vertAlign w:val="superscript"/>
        </w:rPr>
        <w:t>SM</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12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August 24,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196" w:lineRule="auto"/>
        <w:rPr>
          <w:sz w:val="20"/>
          <w:szCs w:val="20"/>
          <w:color w:val="auto"/>
        </w:rPr>
      </w:pPr>
      <w:r>
        <w:rPr>
          <w:rFonts w:ascii="Times New Roman" w:cs="Times New Roman" w:eastAsia="Times New Roman" w:hAnsi="Times New Roman"/>
          <w:sz w:val="18"/>
          <w:szCs w:val="18"/>
          <w:color w:val="auto"/>
        </w:rPr>
        <w:t>430 Park Avenue,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Rani Therapeutics Holdings,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confirms its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with Cantor Fitzgerald &amp;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and H.C. Wainwright &amp; Co., LLC (each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as follows:</w:t>
      </w:r>
    </w:p>
    <w:p>
      <w:pPr>
        <w:spacing w:after="0" w:line="207" w:lineRule="exact"/>
        <w:rPr>
          <w:sz w:val="20"/>
          <w:szCs w:val="20"/>
          <w:color w:val="auto"/>
        </w:rPr>
      </w:pPr>
    </w:p>
    <w:p>
      <w:pPr>
        <w:ind w:right="40" w:firstLine="436"/>
        <w:spacing w:after="0" w:line="25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an Agent that the Company has designated as sales agent to sell Placement Shares (as defined below) pursuant to the terms of this Agreement (as of any given time, the “</w:t>
      </w:r>
      <w:r>
        <w:rPr>
          <w:rFonts w:ascii="Times New Roman" w:cs="Times New Roman" w:eastAsia="Times New Roman" w:hAnsi="Times New Roman"/>
          <w:sz w:val="18"/>
          <w:szCs w:val="18"/>
          <w:b w:val="1"/>
          <w:bCs w:val="1"/>
          <w:u w:val="single" w:color="auto"/>
          <w:color w:val="auto"/>
        </w:rPr>
        <w:t>Designated Agent</w:t>
      </w:r>
      <w:r>
        <w:rPr>
          <w:rFonts w:ascii="Times New Roman" w:cs="Times New Roman" w:eastAsia="Times New Roman" w:hAnsi="Times New Roman"/>
          <w:sz w:val="18"/>
          <w:szCs w:val="18"/>
          <w:color w:val="auto"/>
        </w:rPr>
        <w:t>”) shares of Class A common stock (the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Company,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Agents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8"/>
          <w:szCs w:val="18"/>
          <w:b w:val="1"/>
          <w:bCs w:val="1"/>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Designated Agent will be effected pursuant to the Registration Statement (as defined below) filed by the Company and which was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August 10, 2022, although nothing in this Agreement shall be construed as requiring the Company to use the Registration Statement to issue Common Stock.</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S-3 (File No. 333-266444),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base prospectus, relating to certain securities, including the Placement Shares to be issued from time to time by the Company, and which incorporates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reference documents that the Company has filed in accordance with the provisions of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has prepared a prospectus supplement to the base prospectus included as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registration statement, which prospectus supplement relates to the Placement Shares to be issued from time to time by the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each Agent, for use by such Agent, copies of the prospectus included as part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supplemented by the Prospectus Supplement, relating to the Placement Shares to be issued from time to time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file one or more additional registration statements from time to time that will contain a base prospectus and related prospectus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if applicable (which shall be a Prospectus Supplement), with respect to the Placement Shares. Except where the context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requires, such registration statement(s), including all documents filed as part thereof or incorporated by reference therein, and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in a Prospectus (as defined below) subsequently filed with the Commission pursuant to Rule 424(b)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or deemed to be a part of such registration statement pursuant to Rule 430B of the Securities Act Regulations, is herein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as it may be supplemented, if necessary, by the Prospectus Supplement, in the form in which such prospectus or prospectuses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Prospectus Supplement have most recently been filed by the Company with the Commission pursuant to Rule 424(b)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together with the then issued Issuer Free Writing Prospectus(es),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any Prospectus Supplement, Prospectus or any Issuer Free Writing Prospectus (defined below)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left="-20" w:right="40" w:firstLine="436"/>
        <w:spacing w:after="0" w:line="268" w:lineRule="auto"/>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Placements</w:t>
      </w:r>
      <w:r>
        <w:rPr>
          <w:rFonts w:ascii="Times New Roman" w:cs="Times New Roman" w:eastAsia="Times New Roman" w:hAnsi="Times New Roman"/>
          <w:sz w:val="17"/>
          <w:szCs w:val="17"/>
          <w:color w:val="auto"/>
        </w:rPr>
        <w:t>. Each time that the Company wishes to issue and sell Placement Shares hereunder (each,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the Designated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7"/>
          <w:szCs w:val="17"/>
          <w:b w:val="1"/>
          <w:bCs w:val="1"/>
          <w:u w:val="single" w:color="auto"/>
          <w:color w:val="auto"/>
        </w:rPr>
        <w:t>Placement Notice</w:t>
      </w:r>
      <w:r>
        <w:rPr>
          <w:rFonts w:ascii="Times New Roman" w:cs="Times New Roman" w:eastAsia="Times New Roman" w:hAnsi="Times New Roman"/>
          <w:sz w:val="17"/>
          <w:szCs w:val="17"/>
          <w:color w:val="auto"/>
        </w:rPr>
        <w:t xml:space="preserve">”), the form of which is attached hereto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The Placement Notice shall originate from any of the individuals from the Company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may be amended from time to time. The Placement Notice shall be effective unless and until (i) the Designated Agent declines in writing to accept the terms contained therein for any reason, in its sole discretion, which declination must occur within two (2) Business Days of the Designated Agent’s receipt of the Placement Notice, (ii) the entire amount of the Placement Shares thereunder have been sold, (iii) the Company suspends or terminates the Placement Notice or (iv) this Agreement has been terminated under the provisions of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It is expressly acknowledged and agreed that neither the Company nor the Agents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85" w:lineRule="exact"/>
        <w:rPr>
          <w:rFonts w:ascii="Times New Roman" w:cs="Times New Roman" w:eastAsia="Times New Roman" w:hAnsi="Times New Roman"/>
          <w:sz w:val="17"/>
          <w:szCs w:val="17"/>
          <w:color w:val="auto"/>
        </w:rPr>
      </w:pPr>
    </w:p>
    <w:p>
      <w:pPr>
        <w:ind w:left="-20" w:firstLine="436"/>
        <w:spacing w:after="0" w:line="253"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Designated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189"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66" w:right="459" w:bottom="1440" w:gutter="0" w:footer="0" w:header="0"/>
        </w:sectPr>
      </w:pPr>
    </w:p>
    <w:bookmarkStart w:id="6" w:name="page7"/>
    <w:bookmarkEnd w:id="6"/>
    <w:p>
      <w:pPr>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w:t>
      </w:r>
    </w:p>
    <w:p>
      <w:pPr>
        <w:spacing w:after="0" w:line="183"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Designated Agent; Settlement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120" w:firstLine="987"/>
        <w:spacing w:after="0" w:line="253"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each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91"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Each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Designated Agent for such Placement Shares, after deduction for (i) the Designated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in respect of such sales.</w:t>
      </w:r>
    </w:p>
    <w:p>
      <w:pPr>
        <w:spacing w:after="0" w:line="186"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10(a)</w:t>
      </w:r>
      <w:r>
        <w:rPr>
          <w:rFonts w:ascii="Times New Roman" w:cs="Times New Roman" w:eastAsia="Times New Roman" w:hAnsi="Times New Roman"/>
          <w:sz w:val="18"/>
          <w:szCs w:val="18"/>
          <w:color w:val="auto"/>
        </w:rPr>
        <w:t xml:space="preserve"> hereto, it will (i) hold the Designated Agent harmless against any loss, claim, damage, or expense (including reasonable and documented legal fees and expenses), as incurred, arising out of or in connection with such default by the Company or its transfer agent (if applicable) and (ii) pay to the Designated Agent (without duplication) any commission, discount, or other compensation to which it would otherwise have been entitled absent such default.</w:t>
      </w:r>
    </w:p>
    <w:p>
      <w:pPr>
        <w:spacing w:after="0" w:line="185" w:lineRule="exact"/>
        <w:rPr>
          <w:sz w:val="20"/>
          <w:szCs w:val="20"/>
          <w:color w:val="auto"/>
        </w:rPr>
      </w:pPr>
    </w:p>
    <w:p>
      <w:pPr>
        <w:jc w:val="both"/>
        <w:ind w:firstLine="987"/>
        <w:spacing w:after="0" w:line="261"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Certificates for the Placement Shares, if any, shall be in such denominations and registered in such names as the Designated Agent may request in writing at least one full Business Day (as defined below) before the applicable Settlement Date. The certificates for the Placement Shares, if any, will be made available by the Company for examination and packaging by the Designated Agent in The City of New York not later than noon (New York time) on the Business Day prior to the Settlement Date.</w:t>
      </w:r>
    </w:p>
    <w:p>
      <w:pPr>
        <w:spacing w:after="0" w:line="179"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Agents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86" w:lineRule="exact"/>
        <w:rPr>
          <w:rFonts w:ascii="Times New Roman" w:cs="Times New Roman" w:eastAsia="Times New Roman" w:hAnsi="Times New Roman"/>
          <w:sz w:val="18"/>
          <w:szCs w:val="18"/>
          <w:color w:val="auto"/>
        </w:rPr>
      </w:pPr>
    </w:p>
    <w:p>
      <w:pPr>
        <w:ind w:right="28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Agent that as of the date of this Agreement and as of each Applicable Time (as defined below), unless such representation, warranty or agreement specifies a different time:</w:t>
      </w:r>
    </w:p>
    <w:p>
      <w:pPr>
        <w:spacing w:after="0" w:line="161"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Instructions I.A and I.B) under the Securities Act. The Registration Statement will be filed with the Commission and will be declared effective by the Commission under the Securities Act prior to the issuance of any Placement Notices by the Company. The Prospectus Supplement will name each Agent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each consented. The Common Stock is registered pursuant to Section 12(b) of the Exchange Act and is currently listed on the Exchange under the trading symbol “RANI.”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94" w:lineRule="exact"/>
        <w:rPr>
          <w:sz w:val="20"/>
          <w:szCs w:val="20"/>
          <w:color w:val="auto"/>
        </w:rPr>
      </w:pPr>
    </w:p>
    <w:p>
      <w:pPr>
        <w:ind w:right="40" w:firstLine="987"/>
        <w:spacing w:after="0" w:line="253"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effective, and the Prospectus, and any amendment or supplement thereto, on the date of such Prospectus or amendment or supplement, conformed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either Agent specifically for use in the preparation thereof.</w:t>
      </w:r>
    </w:p>
    <w:p>
      <w:pPr>
        <w:spacing w:after="0" w:line="18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4" w:right="100" w:firstLine="987"/>
        <w:spacing w:after="0" w:line="258"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Securities Act Regulations) of the Placement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3" w:lineRule="exact"/>
        <w:rPr>
          <w:rFonts w:ascii="Times New Roman" w:cs="Times New Roman" w:eastAsia="Times New Roman" w:hAnsi="Times New Roman"/>
          <w:sz w:val="18"/>
          <w:szCs w:val="18"/>
          <w:color w:val="auto"/>
        </w:rPr>
      </w:pPr>
    </w:p>
    <w:p>
      <w:pPr>
        <w:jc w:val="both"/>
        <w:ind w:left="4" w:right="600" w:firstLine="987"/>
        <w:spacing w:after="0" w:line="312"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Emerging Growth Company Status.</w:t>
      </w:r>
      <w:r>
        <w:rPr>
          <w:rFonts w:ascii="Times New Roman" w:cs="Times New Roman" w:eastAsia="Times New Roman" w:hAnsi="Times New Roman"/>
          <w:sz w:val="17"/>
          <w:szCs w:val="17"/>
          <w:color w:val="auto"/>
        </w:rPr>
        <w:t xml:space="preserve"> From the time of the initial filing of the Registration Statement through the date hereof, the Company has been and is an “emerging growth company,” as defined in Section 2(a) of the Securities Act (an “</w:t>
      </w:r>
      <w:r>
        <w:rPr>
          <w:rFonts w:ascii="Times New Roman" w:cs="Times New Roman" w:eastAsia="Times New Roman" w:hAnsi="Times New Roman"/>
          <w:sz w:val="17"/>
          <w:szCs w:val="17"/>
          <w:b w:val="1"/>
          <w:bCs w:val="1"/>
          <w:u w:val="single" w:color="auto"/>
          <w:color w:val="auto"/>
        </w:rPr>
        <w:t>Emerging Growth Company</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4" w:right="160" w:firstLine="987"/>
        <w:spacing w:after="0" w:line="266" w:lineRule="auto"/>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if any, included in the Registration Statement and the Prospectus are independent public accountants as required by the Securities Act, the Securities Act Regulations and the Public Company Accounting Oversight Board.</w:t>
      </w:r>
    </w:p>
    <w:p>
      <w:pPr>
        <w:spacing w:after="0" w:line="175"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in the Registration Statement and the Prospectus, together with the related schedules and notes, present fairly in all material respects the financial position of the entities purported to be shown thereby at the dates indicated and the statement of operations and cash flows for the periods specified; said financial statements have been prepared in conformity with U.S. generally accepted accounting principles (“</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in the case of unaudited interim financial statements, subject to normal year-end audit adjustments and the exclusion of certain footnotes as permitted by the applicable rules of the Commission. The supporting schedules, if any, present fairly in all material respects in accordance with GAAP the information required to be stated therein. The selected financial data and the summary financial information included in the Registration Statement and the Prospectus, if any,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or the Prospectus under the Securities Act or the Securities Act Regulations. All disclosures, if any, contained in the Registration Statement or the Prospectus regarding “non-GAAP financial measures” (as such term is defined by the rules and regulations of the Commission) comply with Regulation G of the Exchange Act, and Item 10 of Regulation S-K of the Securities Act,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97"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Change in Business</w:t>
      </w:r>
      <w:r>
        <w:rPr>
          <w:rFonts w:ascii="Times New Roman" w:cs="Times New Roman" w:eastAsia="Times New Roman" w:hAnsi="Times New Roman"/>
          <w:sz w:val="17"/>
          <w:szCs w:val="17"/>
          <w:color w:val="auto"/>
        </w:rPr>
        <w:t>. Except as otherwise stated therein, since the respective dates as of which information is given in the Registration Statement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7"/>
          <w:szCs w:val="17"/>
          <w:b w:val="1"/>
          <w:bCs w:val="1"/>
          <w:u w:val="single" w:color="auto"/>
          <w:color w:val="auto"/>
        </w:rPr>
        <w:t>Material Adverse Effect</w:t>
      </w:r>
      <w:r>
        <w:rPr>
          <w:rFonts w:ascii="Times New Roman" w:cs="Times New Roman" w:eastAsia="Times New Roman" w:hAnsi="Times New Roman"/>
          <w:sz w:val="17"/>
          <w:szCs w:val="17"/>
          <w:color w:val="auto"/>
        </w:rPr>
        <w:t>”), (B) there have been no transactions entered into by the Company or any of its subsidiaries, other than those in the ordinary course of business, which are material with respect to the Company and any of its subsidiaries considered as one enterprise, and</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2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or its subsidiaries on any class of their capital stock (except with regards to any distributions related to tax obligations made by Rani Therapeutics, LLC as described in the Registration Statement and Prospectus).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right="40" w:firstLine="987"/>
        <w:spacing w:after="0" w:line="256" w:lineRule="auto"/>
        <w:tabs>
          <w:tab w:leader="none" w:pos="1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businesses as described in the Registration Statement and the Prospectus and to enter into and perform its obligations under this Agreement; and the Company and its subsidiaries are duly qualified to transact business and are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“significant subsidiary” of the Company (as such term is defined in Rule 1-02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Regulation S-X)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and the Prospectus, all of the issued and outstanding capital stock, membership or other equity interests of each subsidiary have been duly authorized and validly issued, to the extent such subsidiary is a corporation, are fully paid and non-assessable and are owned by the Company, directly or indirectly through subsidiaries, free and clear of any security interest, mortgage, pledge, lien, encumbrance, claim or equity. None of the outstanding shares of capital stock, membership interest or other equity interests of any subsidiary were issued in violation of the preemptive or similar rights of any securityholder of such subsidiary. The only subsidiaries of the Company are the subsidiaries listed on Exhibit 21.1 to the Company’s most recent Annual Report on Form 10-K.</w:t>
      </w:r>
    </w:p>
    <w:p>
      <w:pPr>
        <w:spacing w:after="0" w:line="192" w:lineRule="exact"/>
        <w:rPr>
          <w:sz w:val="20"/>
          <w:szCs w:val="20"/>
          <w:color w:val="auto"/>
        </w:rPr>
      </w:pPr>
    </w:p>
    <w:p>
      <w:pPr>
        <w:ind w:right="20"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the authorized capitalization as set forth in the Registration Statement and the Prospectus as of the dates referred to therein. The outstanding shares of capital stock, membership interests or other equity interests of the Company and its subsidiaries have been duly authorized and, solely with respect to the Company, are validly issued and are fully paid and non-assessable. None of the outstanding shares of capital stock, membership interests or other equity interests of the Company and its subsidiaries were issued in violation of the preemptive or other similar rights of any securityholder of the Company and its subsidiaries.</w:t>
      </w:r>
    </w:p>
    <w:p>
      <w:pPr>
        <w:spacing w:after="0" w:line="1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Placement Shares.</w:t>
      </w:r>
      <w:r>
        <w:rPr>
          <w:rFonts w:ascii="Times New Roman" w:cs="Times New Roman" w:eastAsia="Times New Roman" w:hAnsi="Times New Roman"/>
          <w:sz w:val="18"/>
          <w:szCs w:val="18"/>
          <w:color w:val="auto"/>
        </w:rPr>
        <w:t xml:space="preserve"> The Placement Shares to be purchased by the Designated Agent from the Company have been duly authorized for issuance and sale to the Designated Agent pursuant to this Agreement and, when issued and delivered by the Company pursuant to this Agreement against payment of the consideration set forth herein, will be validly issued and fully paid and non-assessable; and the issuance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Placement Shares is not subject to the preemptive or other similar rights of any securityholder of the Company. The Placement Shares conform in all material respects to all statements relating thereto contained in the Registration Statement and the Prospectus and such description conforms in all material respects to the rights set forth in the instruments defining the same. No holder of the Placement Shares will be subject to personal liability solely by reason of being such a holder.</w:t>
      </w:r>
    </w:p>
    <w:p>
      <w:pPr>
        <w:spacing w:after="0" w:line="180" w:lineRule="exact"/>
        <w:rPr>
          <w:sz w:val="20"/>
          <w:szCs w:val="20"/>
          <w:color w:val="auto"/>
        </w:rPr>
      </w:pPr>
    </w:p>
    <w:p>
      <w:pPr>
        <w:ind w:right="140" w:firstLine="987"/>
        <w:spacing w:after="0" w:line="261"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 with respect to the Registration Statement and the transactions contemplated by this Agreement.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of its subsidiaries is (A) in violation of its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any of them may be bound or to which any of the properties or assets of the Company or any of its subsidiaries is subject (collectively, “</w:t>
      </w:r>
      <w:r>
        <w:rPr>
          <w:rFonts w:ascii="Times New Roman" w:cs="Times New Roman" w:eastAsia="Times New Roman" w:hAnsi="Times New Roman"/>
          <w:sz w:val="18"/>
          <w:szCs w:val="18"/>
          <w:b w:val="1"/>
          <w:bCs w:val="1"/>
          <w:u w:val="single" w:color="auto"/>
          <w:color w:val="auto"/>
        </w:rPr>
        <w:t>Agreements and Instruments</w:t>
      </w:r>
      <w:r>
        <w:rPr>
          <w:rFonts w:ascii="Times New Roman" w:cs="Times New Roman" w:eastAsia="Times New Roman" w:hAnsi="Times New Roman"/>
          <w:sz w:val="18"/>
          <w:szCs w:val="18"/>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nor any of its subsidiaries or any of their respective properties, assets or operations (each, a “</w:t>
      </w:r>
      <w:r>
        <w:rPr>
          <w:rFonts w:ascii="Times New Roman" w:cs="Times New Roman" w:eastAsia="Times New Roman" w:hAnsi="Times New Roman"/>
          <w:sz w:val="18"/>
          <w:szCs w:val="18"/>
          <w:b w:val="1"/>
          <w:bCs w:val="1"/>
          <w:u w:val="single" w:color="auto"/>
          <w:color w:val="auto"/>
        </w:rPr>
        <w:t>Governmental Entity</w:t>
      </w:r>
      <w:r>
        <w:rPr>
          <w:rFonts w:ascii="Times New Roman" w:cs="Times New Roman" w:eastAsia="Times New Roman" w:hAnsi="Times New Roman"/>
          <w:sz w:val="18"/>
          <w:szCs w:val="18"/>
          <w:color w:val="auto"/>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and the Prospectus (including the issuance and sale of the Placement Shares and the use of the proceeds from the sale of the Placement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its subsidiaries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the provisions of the charter, by-laws or similar organizational document of the Company or any law, statute, rule, regulation, judgment, order, writ or decree of any Governmental Entity.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60" w:right="100" w:firstLine="987"/>
        <w:spacing w:after="0" w:line="261" w:lineRule="auto"/>
        <w:tabs>
          <w:tab w:leader="none" w:pos="11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left="-60" w:firstLine="987"/>
        <w:spacing w:after="0" w:line="254" w:lineRule="auto"/>
        <w:tabs>
          <w:tab w:leader="none" w:pos="11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inquiry or investigation before or brought by any Governmental Entity now pending or, to the knowledge of the Company, threatened or contemplated,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and the Prospectus, including ordinary routine litigation incidental to the business, would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60" w:right="80" w:firstLine="987"/>
        <w:spacing w:after="0" w:line="266" w:lineRule="auto"/>
        <w:tabs>
          <w:tab w:leader="none" w:pos="11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under the Securities Act or the Securities Act Regulations to be described in the Registration Statement or the Prospectus or to be filed as exhibits to the Registration Statement which have not been so described and filed as required.</w:t>
      </w:r>
    </w:p>
    <w:p>
      <w:pPr>
        <w:spacing w:after="0" w:line="175" w:lineRule="exact"/>
        <w:rPr>
          <w:rFonts w:ascii="Times New Roman" w:cs="Times New Roman" w:eastAsia="Times New Roman" w:hAnsi="Times New Roman"/>
          <w:sz w:val="18"/>
          <w:szCs w:val="18"/>
          <w:color w:val="auto"/>
        </w:rPr>
      </w:pPr>
    </w:p>
    <w:p>
      <w:pPr>
        <w:ind w:left="-60" w:right="160" w:firstLine="987"/>
        <w:spacing w:after="0" w:line="258" w:lineRule="auto"/>
        <w:tabs>
          <w:tab w:leader="none" w:pos="11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Placement Shares hereunder or the consummation of the transactions contemplated by this Agreement, except such as have been already obtained or as may be required under the Securities Act, the Securities Act Regulations, the rules of the Exchange, state securities laws or the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0" w:right="40" w:firstLine="987"/>
        <w:spacing w:after="0" w:line="254" w:lineRule="auto"/>
        <w:tabs>
          <w:tab w:leader="none" w:pos="11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possess such permits, licenses, approvals, consents and other authorizations (collectively, “</w:t>
      </w:r>
      <w:r>
        <w:rPr>
          <w:rFonts w:ascii="Times New Roman" w:cs="Times New Roman" w:eastAsia="Times New Roman" w:hAnsi="Times New Roman"/>
          <w:sz w:val="18"/>
          <w:szCs w:val="18"/>
          <w:b w:val="1"/>
          <w:bCs w:val="1"/>
          <w:u w:val="single" w:color="auto"/>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operated by them, except where the failure to possess would not, singly or in the aggregate, reasonably be expected to result in a Material Adverse Effect. The Company and its subsidiaries are in compliance with the terms and conditions of all Governmental Licenses, except where the failure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any of its subsidiaries has received any written notice of proceedings relating to the revocation, suspension or modification of any Governmental Licenses which, singly or in the aggregate, if the subject of an unfavorable decision, ruling or finding, would reasonably be expected to result in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70" w:right="519" w:bottom="1440" w:gutter="0" w:footer="0" w:header="0"/>
        </w:sectPr>
      </w:pPr>
    </w:p>
    <w:bookmarkStart w:id="13" w:name="page14"/>
    <w:bookmarkEnd w:id="13"/>
    <w:p>
      <w:pPr>
        <w:ind w:firstLine="987"/>
        <w:spacing w:after="0" w:line="254"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and the Prospectus or (B) do not, singly or in the aggregate, materially and adversely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or the Prospectus, are in full force and effect, and none of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any such subsidiary to the continued possession of the leased or subleased premises under any such lease or sublease.</w:t>
      </w:r>
    </w:p>
    <w:p>
      <w:pPr>
        <w:spacing w:after="0" w:line="188" w:lineRule="exact"/>
        <w:rPr>
          <w:rFonts w:ascii="Times New Roman" w:cs="Times New Roman" w:eastAsia="Times New Roman" w:hAnsi="Times New Roman"/>
          <w:sz w:val="18"/>
          <w:szCs w:val="18"/>
          <w:color w:val="auto"/>
        </w:rPr>
      </w:pPr>
    </w:p>
    <w:p>
      <w:pPr>
        <w:ind w:right="20" w:firstLine="987"/>
        <w:spacing w:after="0" w:line="251"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applications, patent rights, licenses, inventions, copyrights, know-how (including trade secrets and other unpatented and/or unpatentable proprietary or confidential information, systems or procedures), trademarks, service marks, trade names, domain names and other source indicators, or other intellectual property (collectively,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necessary to carry on the business now operated or proposed to be operated by them, except where the failure to so own or possess or acquire, would not, singly or in the aggregate, reasonably be expected to result in a Material Adverse Effect. Neither the Company nor any of its subsidiaries has received any notice or is otherwise aware of any infringement of, misappropriation of, or conflict with rights of others with respect to any Intellectual Property or of any facts or circumstances which would render any Intellectual Property of the Company or its subsidiaries invalid, unenforceable, or inadequate to protect the interest of the Company or any of its subsidiaries therein, and which infringement, misappropriation, or conflict (if the subject of any unfavorable decision, ruling or finding) or invalidity, unenforceability, or inadequacy, singly or in the aggregate, would reasonably be expected to result in a Material Adverse Effect. To the knowledge of the Company, the Intellectual Property of the Company and its subsidiaries is not being infringed, misappropriated, or otherwise violated by others. The Company and its subsidiaries have complied with the terms of each agreement pursuant to which Intellectual Property has been licensed to them and all such agreements are in full force and effect, except where the failure to so comply or be in full force and effect, singly or in the aggregate, would reasonably be expected to result in a Material Adverse Effect. The Company and its subsidiaries have taken all commercially reasonable steps to protect, maintain, and safeguard the Intellectual Property owned by them. To the knowledge of the Company, no employee or contractor of the Company or any of its subsidiaries, is in or has been in violation of any term of any employment contract, patent disclosure agreement, invention assignment</w:t>
      </w:r>
    </w:p>
    <w:p>
      <w:pPr>
        <w:spacing w:after="0" w:line="10" w:lineRule="exact"/>
        <w:rPr>
          <w:rFonts w:ascii="Times New Roman" w:cs="Times New Roman" w:eastAsia="Times New Roman" w:hAnsi="Times New Roman"/>
          <w:sz w:val="18"/>
          <w:szCs w:val="18"/>
          <w:color w:val="auto"/>
        </w:rPr>
      </w:pPr>
    </w:p>
    <w:p>
      <w:pPr>
        <w:ind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non-competition agreement, non-solicitation agreement, nondisclosure agreement, or any restrictive covenant to or with a former employer where the basis of such violation relates to such employee’s employment with or such contractor’s engagement by the Company or any of its subsidiaries.</w:t>
      </w:r>
    </w:p>
    <w:p>
      <w:pPr>
        <w:spacing w:after="0" w:line="185" w:lineRule="exact"/>
        <w:rPr>
          <w:rFonts w:ascii="Times New Roman" w:cs="Times New Roman" w:eastAsia="Times New Roman" w:hAnsi="Times New Roman"/>
          <w:sz w:val="18"/>
          <w:szCs w:val="18"/>
          <w:color w:val="auto"/>
        </w:rPr>
      </w:pPr>
    </w:p>
    <w:p>
      <w:pPr>
        <w:ind w:right="180" w:firstLine="987"/>
        <w:spacing w:after="0" w:line="261" w:lineRule="auto"/>
        <w:tabs>
          <w:tab w:leader="none" w:pos="12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and the Prospectus, or would not, singly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any of its subsidiaries and (D) to the knowledge,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92" w:lineRule="exact"/>
        <w:rPr>
          <w:sz w:val="20"/>
          <w:szCs w:val="20"/>
          <w:color w:val="auto"/>
        </w:rPr>
      </w:pPr>
    </w:p>
    <w:p>
      <w:pPr>
        <w:ind w:left="4" w:right="80" w:firstLine="987"/>
        <w:spacing w:after="0" w:line="272"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Except as described in the Registration Statement and the Prospectus, the Company maintains effective internal control over financial reporting (as defined under Rule 13-a15 and 15d-15 under the Exchange Act) and a system of internal accounting controls sufficient to provide reasonable assurances that (A) transactions are executed in accordance with management’s general or specific authorization;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to the Company’s knowledge,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this subsection shall not require the Company to comply with Section 404 of the Sarbanes-Oxley Act of 2002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as of an earlier date than it would otherwise be required to comply).</w:t>
      </w:r>
    </w:p>
    <w:p>
      <w:pPr>
        <w:spacing w:after="0" w:line="193"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xml:space="preserve"> The Company and, to the knowledge of the Company, the Company’s directors or officers, in their capacities as such, are each in compliance in all material respects with any applicable provision of the Sarbanes-Oxley Act and the rules and regulations promulgated in connection therewith, including Section 402 related to loans and Sections 302 and 906 related to certifications.</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tax returns of the Company and its subsidiaries required by law to be filed have been filed (after giving effect to any extensions provided by law that have been requested) and all taxes shown by such returns or otherwise assessed, which are due and payable, have been paid, except assessments against which appeals have been or will be promptly taken and as to which adequate reserves have been provided or insofar as the failure to</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15" w:name="page16"/>
    <w:bookmarkEnd w:id="15"/>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 such returns or pay such taxes would not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w:t>
      </w:r>
    </w:p>
    <w:p>
      <w:pPr>
        <w:spacing w:after="0" w:line="180" w:lineRule="exact"/>
        <w:rPr>
          <w:sz w:val="20"/>
          <w:szCs w:val="20"/>
          <w:color w:val="auto"/>
        </w:rPr>
      </w:pPr>
    </w:p>
    <w:p>
      <w:pPr>
        <w:ind w:left="4" w:firstLine="987"/>
        <w:spacing w:after="0" w:line="282" w:lineRule="auto"/>
        <w:tabs>
          <w:tab w:leader="none" w:pos="13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 Real Property Holding Corporation Status</w:t>
      </w:r>
      <w:r>
        <w:rPr>
          <w:rFonts w:ascii="Times New Roman" w:cs="Times New Roman" w:eastAsia="Times New Roman" w:hAnsi="Times New Roman"/>
          <w:sz w:val="18"/>
          <w:szCs w:val="18"/>
          <w:color w:val="auto"/>
        </w:rPr>
        <w:t>. The Company is not, and does not anticipate becoming, a “United States real property holding corporation” within the meaning of Section 897 of the Internal Revenue Code of 1986, as amended.</w:t>
      </w:r>
    </w:p>
    <w:p>
      <w:pPr>
        <w:spacing w:after="0" w:line="161"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3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its subsidiaries carry or are entitled to the benefits of insurance, with financially sound and reputable insurers, in such amounts and covering such risks as is generally maintained by similarly sized companies of established repute engaged in the same or similar business, and all such insurance is in full force and effect. The Company has no reason to believe that it or any of its subsidiaries will not be able</w:t>
      </w:r>
    </w:p>
    <w:p>
      <w:pPr>
        <w:spacing w:after="0" w:line="1" w:lineRule="exact"/>
        <w:rPr>
          <w:rFonts w:ascii="Times New Roman" w:cs="Times New Roman" w:eastAsia="Times New Roman" w:hAnsi="Times New Roman"/>
          <w:sz w:val="17"/>
          <w:szCs w:val="17"/>
          <w:color w:val="auto"/>
        </w:rPr>
      </w:pPr>
    </w:p>
    <w:p>
      <w:pPr>
        <w:ind w:left="4" w:right="120" w:hanging="4"/>
        <w:spacing w:after="0" w:line="277" w:lineRule="auto"/>
        <w:tabs>
          <w:tab w:leader="none" w:pos="29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of the Company nor any of its subsidiaries has been denied any insurance coverage which it has sought or for which it has applied.</w:t>
      </w:r>
    </w:p>
    <w:p>
      <w:pPr>
        <w:spacing w:after="0" w:line="168" w:lineRule="exact"/>
        <w:rPr>
          <w:rFonts w:ascii="Times New Roman" w:cs="Times New Roman" w:eastAsia="Times New Roman" w:hAnsi="Times New Roman"/>
          <w:sz w:val="17"/>
          <w:szCs w:val="17"/>
          <w:color w:val="auto"/>
        </w:rPr>
      </w:pPr>
    </w:p>
    <w:p>
      <w:pPr>
        <w:ind w:left="4" w:right="280" w:firstLine="987"/>
        <w:spacing w:after="0" w:line="266" w:lineRule="auto"/>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Placement Shares as herein contemplated and the application of the net proceeds therefrom as described in the Registration Statement and the Prospectus will not be required, to register as an “investment company” under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to the knowledge of the Company, any affiliate of the Company, has taken, nor will the Company or any affiliate of the Company take, directly or indirectly, any action which is designed, or would reasonably be expected, to cause or result in, or which constitutes, the stabilization or manipulation of the price of any security of the Company to facilitate the sale or resale of the Placement Shares or to result in a violation of Regulation M under the Exchange Act.</w:t>
      </w:r>
    </w:p>
    <w:p>
      <w:pPr>
        <w:spacing w:after="0" w:line="179" w:lineRule="exact"/>
        <w:rPr>
          <w:rFonts w:ascii="Times New Roman" w:cs="Times New Roman" w:eastAsia="Times New Roman" w:hAnsi="Times New Roman"/>
          <w:sz w:val="18"/>
          <w:szCs w:val="18"/>
          <w:color w:val="auto"/>
        </w:rPr>
      </w:pPr>
    </w:p>
    <w:p>
      <w:pPr>
        <w:ind w:left="4" w:right="580" w:firstLine="987"/>
        <w:spacing w:after="0" w:line="282" w:lineRule="auto"/>
        <w:tabs>
          <w:tab w:leader="none" w:pos="13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Neither the Company nor its subsidiaries have any debt securities or preferred stock that are rated by any “nationally recognized statistical rating organization” (as defined in Section 3(a)(62) of the Exchange Act).</w:t>
      </w:r>
    </w:p>
    <w:p>
      <w:pPr>
        <w:spacing w:after="0" w:line="161"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Preclinical and Clinical Data and Regulatory Compliance.</w:t>
      </w:r>
      <w:r>
        <w:rPr>
          <w:rFonts w:ascii="Times New Roman" w:cs="Times New Roman" w:eastAsia="Times New Roman" w:hAnsi="Times New Roman"/>
          <w:sz w:val="18"/>
          <w:szCs w:val="18"/>
          <w:color w:val="auto"/>
        </w:rPr>
        <w:t xml:space="preserve"> Except as would not, singly or in the aggregate, reasonably be expected to result in a Material Adverse Effect, the preclinical studies and clinical trials conducted by or on behalf of the Company or its subsidiaries that are described in the Registration and the Prospectus (the “</w:t>
      </w:r>
      <w:r>
        <w:rPr>
          <w:rFonts w:ascii="Times New Roman" w:cs="Times New Roman" w:eastAsia="Times New Roman" w:hAnsi="Times New Roman"/>
          <w:sz w:val="18"/>
          <w:szCs w:val="18"/>
          <w:b w:val="1"/>
          <w:bCs w:val="1"/>
          <w:u w:val="single" w:color="auto"/>
          <w:color w:val="auto"/>
        </w:rPr>
        <w:t>Company Studies and Trials</w:t>
      </w:r>
      <w:r>
        <w:rPr>
          <w:rFonts w:ascii="Times New Roman" w:cs="Times New Roman" w:eastAsia="Times New Roman" w:hAnsi="Times New Roman"/>
          <w:sz w:val="18"/>
          <w:szCs w:val="18"/>
          <w:color w:val="auto"/>
        </w:rPr>
        <w:t>”) were and, if still pending, are being, conducted in all respects in accordance with experimental protocols, procedures and controls pursuant to, where applicable, accepted professional and scientific standards and all applicable statutes, rules and regulations of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and any applicable statutes, rules and regulations of comparable foreign regulatory authorities. The descriptions of the results of the Company Studies and Trials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6" w:name="page17"/>
    <w:bookmarkEnd w:id="16"/>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contained in the Registration Statement and Prospectus are accurate and complete in all material respects and fairly present the data derived from such Company Studies and Trials; the Company has no knowledge of any other studies or trials not described in the Registration Statement and the Prospectus, the results of which are materially inconsistent with, or otherwise call into question, the results described or referred to in the Registration Statement and the Prospectus; and the Company and its subsidiaries have not received any written notices or correspondence from the FDA or any foreign, state or local governmental body exercising comparable authority or any Institutional Review Board or ethics committee or similar body requiring or threatening the termination, suspension or material modification of any Company Studies or Trials and, to the Company’s knowledge, there are no reasonable grounds for the same. The Company and its subsidiaries have obtained (or caused to be obtained) informed consent by or on behalf of each human subject who is participating or has participated in the Company Studies and Trials. Except as would not, singly or in the aggregate, reasonably be expected to result in a Material Adverse Effect, in using or disclosing patient information received by the Company and its subsidiaries in connection with the Company Studies and Trials, the Company and its subsidiaries have complied with all applicable laws and regulatory rules or requirements, including, without limitation, the Health Insurance Portability and Accountability Act of 1996 and the rules and regulations thereunder (“</w:t>
      </w:r>
      <w:r>
        <w:rPr>
          <w:rFonts w:ascii="Times New Roman" w:cs="Times New Roman" w:eastAsia="Times New Roman" w:hAnsi="Times New Roman"/>
          <w:sz w:val="18"/>
          <w:szCs w:val="18"/>
          <w:b w:val="1"/>
          <w:bCs w:val="1"/>
          <w:u w:val="single" w:color="auto"/>
          <w:color w:val="auto"/>
        </w:rPr>
        <w:t>HIPAA</w:t>
      </w:r>
      <w:r>
        <w:rPr>
          <w:rFonts w:ascii="Times New Roman" w:cs="Times New Roman" w:eastAsia="Times New Roman" w:hAnsi="Times New Roman"/>
          <w:sz w:val="18"/>
          <w:szCs w:val="18"/>
          <w:color w:val="auto"/>
        </w:rPr>
        <w:t>”), as amended by the Health Information Technology for Economic and Clinical Health Act (the “</w:t>
      </w:r>
      <w:r>
        <w:rPr>
          <w:rFonts w:ascii="Times New Roman" w:cs="Times New Roman" w:eastAsia="Times New Roman" w:hAnsi="Times New Roman"/>
          <w:sz w:val="18"/>
          <w:szCs w:val="18"/>
          <w:b w:val="1"/>
          <w:bCs w:val="1"/>
          <w:u w:val="single" w:color="auto"/>
          <w:color w:val="auto"/>
        </w:rPr>
        <w:t>HITECH Act</w:t>
      </w:r>
      <w:r>
        <w:rPr>
          <w:rFonts w:ascii="Times New Roman" w:cs="Times New Roman" w:eastAsia="Times New Roman" w:hAnsi="Times New Roman"/>
          <w:sz w:val="18"/>
          <w:szCs w:val="18"/>
          <w:color w:val="auto"/>
        </w:rPr>
        <w:t>”) (42 U.S.C. Section 17921 et seq.). None of the Company Studies and Trials involved any investigator who has been disqualified as a clinical investigator or has been found by the FDA to have engaged in scientific misconduct. To the knowledge of the Company, the Company and its subsidiaries have operated at all times and are currently in compliance with all applicable statutes, rules and regulations of the FDA or any foreign, state or local governmental body exercising comparable authority (collectively, the “</w:t>
      </w:r>
      <w:r>
        <w:rPr>
          <w:rFonts w:ascii="Times New Roman" w:cs="Times New Roman" w:eastAsia="Times New Roman" w:hAnsi="Times New Roman"/>
          <w:sz w:val="18"/>
          <w:szCs w:val="18"/>
          <w:b w:val="1"/>
          <w:bCs w:val="1"/>
          <w:u w:val="single" w:color="auto"/>
          <w:color w:val="auto"/>
        </w:rPr>
        <w:t>Regulatory Authorities</w:t>
      </w:r>
      <w:r>
        <w:rPr>
          <w:rFonts w:ascii="Times New Roman" w:cs="Times New Roman" w:eastAsia="Times New Roman" w:hAnsi="Times New Roman"/>
          <w:sz w:val="18"/>
          <w:szCs w:val="18"/>
          <w:color w:val="auto"/>
        </w:rPr>
        <w:t>”), except where such non-compliance would not reasonably be expected, individually or in the aggregate, to result in a Material Adverse Effect. The Company has provided the Agents or their counsel with all material written notices, correspondence and summaries of all other communications from the Regulatory Authorities as of the date of this Agreement. To the knowledge of the Company, the manufacturing facilities and operations of the Company’s suppliers are operated in compliance with all applicable statutes, rules and regulations of the Regulatory Authorities, except where such non-compliance would not reasonably be expected, individually or in the aggregate, to result in a Material Adverse Effect.</w:t>
      </w:r>
    </w:p>
    <w:p>
      <w:pPr>
        <w:spacing w:after="0" w:line="188" w:lineRule="exact"/>
        <w:rPr>
          <w:sz w:val="20"/>
          <w:szCs w:val="20"/>
          <w:color w:val="auto"/>
        </w:rPr>
      </w:pPr>
    </w:p>
    <w:p>
      <w:pPr>
        <w:ind w:left="1344" w:hanging="353"/>
        <w:spacing w:after="0"/>
        <w:tabs>
          <w:tab w:leader="none" w:pos="13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Except as would not, singly or in the aggregate, reasonably be expected to result in a Material Adverse Effect,</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failed to file with the Regulatory Authorities any required filing, declaration, listing, registration, report or submission or failed to obtain any required approval or authorization with respect to the product candidates of the Company or its subsidiaries that are described or referred to in the Registration Statement and the Prospectus; (ii) all such filings, declarations, listings, registrations, reports or submissions, as applicable, were in compliance with applicable laws when filed; and (iii) no deficiencies have been asserted by any applicable Regulatory Authority with respect to any such filings, declarations, listings, registrations, reports or submissions.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firstLine="987"/>
        <w:spacing w:after="0" w:line="254" w:lineRule="auto"/>
        <w:tabs>
          <w:tab w:leader="none" w:pos="13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Privacy Laws</w:t>
      </w:r>
      <w:r>
        <w:rPr>
          <w:rFonts w:ascii="Times New Roman" w:cs="Times New Roman" w:eastAsia="Times New Roman" w:hAnsi="Times New Roman"/>
          <w:sz w:val="18"/>
          <w:szCs w:val="18"/>
          <w:color w:val="auto"/>
        </w:rPr>
        <w:t>. The Company and its subsidiaries are, and at all times since April 1, 2018 have been, in compliance with all applicable data privacy and security laws and regulations, including, without limitation, to the extent applicable, the HIPAA, as amended by the HITECH Act (collectively, “</w:t>
      </w:r>
      <w:r>
        <w:rPr>
          <w:rFonts w:ascii="Times New Roman" w:cs="Times New Roman" w:eastAsia="Times New Roman" w:hAnsi="Times New Roman"/>
          <w:sz w:val="18"/>
          <w:szCs w:val="18"/>
          <w:b w:val="1"/>
          <w:bCs w:val="1"/>
          <w:u w:val="single" w:color="auto"/>
          <w:color w:val="auto"/>
        </w:rPr>
        <w:t>Privacy Laws</w:t>
      </w:r>
      <w:r>
        <w:rPr>
          <w:rFonts w:ascii="Times New Roman" w:cs="Times New Roman" w:eastAsia="Times New Roman" w:hAnsi="Times New Roman"/>
          <w:sz w:val="18"/>
          <w:szCs w:val="18"/>
          <w:color w:val="auto"/>
        </w:rPr>
        <w:t>”), except where such non-compliance would not reasonably be expected, individually or in the aggregate, to result in a Material Adverse Effect. Except as would not, individually or the aggregate, reasonably be expected to have a Material Adverse Effect, none of the Company nor its subsidiaries, (i) has at any time since April 1, 2018 received written notice of any actual or potential liability under, or actual or potential violation of, any of the Privacy Laws, and the Company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by a governmental or regulatory authority that imposes any obligation or liability under any Privacy Law.</w:t>
      </w:r>
    </w:p>
    <w:p>
      <w:pPr>
        <w:spacing w:after="0" w:line="188" w:lineRule="exact"/>
        <w:rPr>
          <w:rFonts w:ascii="Times New Roman" w:cs="Times New Roman" w:eastAsia="Times New Roman" w:hAnsi="Times New Roman"/>
          <w:sz w:val="18"/>
          <w:szCs w:val="18"/>
          <w:color w:val="auto"/>
        </w:rPr>
      </w:pPr>
    </w:p>
    <w:p>
      <w:pPr>
        <w:ind w:right="120" w:firstLine="987"/>
        <w:spacing w:after="0" w:line="253" w:lineRule="auto"/>
        <w:tabs>
          <w:tab w:leader="none" w:pos="1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Except as would not, singly or in the aggregate, reasonably be expected to result in a Material Adverse Effect, the Company and its subsidiaries are, and at all times have been, in compliance with all applicable Health Care Laws. For purposes of this Agreement, “Health Care Laws” means: (i) the Federal Food, Drug, and Cosmetic Act (21 U.S.C. Section 301 et seq.), the Public Health Service Act (42 U.S.C. Section 201 et seq.), and the regulations promulgated thereunder; (ii) all applicable U.S. federal, state, local and non-U.S. health care fraud and abuse laws, including, without limitation, the Anti-Kickback Statute (42 U.S.C. Section 1320a-7b(b)), the Civil False Claims Act (31 U.S.C. Section 3729 et seq.), the criminal false statements law (42 U.S.C. Section 1320a-7b(a)), the civil monetary penalties law (42</w:t>
      </w:r>
    </w:p>
    <w:p>
      <w:pPr>
        <w:spacing w:after="0" w:line="5"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Section 1320a-7a), 18 U.S.C. Sections 286 and 287, the health care fraud criminal provisions under HIPAA, the civil monetary penalties law (42 U.S.C. Section 1320a-7a), the exclusion law (42 U.S.C. Section 1320a-7), the Physician Payments Sunshine Act (42 U.S.C. Section 1320-7h), and applicable laws governing government funded or sponsored healthcare programs; (iii) HIPAA, as amended by the HITECH Act; (iv) the Patient Protection and Affordable Care Act of 2010, as amended by the Health Care and Education Reconciliation Act of 2010; (v) licensure, quality, safety and accreditation requirements under applicable U.S. federal, state, local or non-U.S. laws or regulatory bodies; (vi) all other local, state, U.S. federal, national, supranational and non-U.S. health care laws relating to the regulation of the Company or its subsidiaries, and (vii) the regulations promulgated pursuant to such statutes, and any state or non-U.S. counterpart thereof. Neither the Company nor any of its subsidiaries has received any FDA Form 483, notice of adverse finding, warning letter, untitled letter or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or pending. Neither the Company nor any of its subsidiaries is a party to any corporate integrity agreements, monitoring agreements, consent decrees, settlement orders, or similar agreements with or imposed by any governmental or regulatory authority. Additionally, none of the Company, any of its subsidiaries nor any of their respective employees, officers, directors or, to the Company’s knowledge, their respective agents has been excluded, suspended, debarred or disqualified from participation in any U.S. federal health care program or human clinical research or, to the knowledge of the Company, is subject to a governmental inquiry, investigation, proceeding, or other similar action that could reasonably be expected to result in debarment, disqualification, suspension, or exclusion.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18" w:name="page19"/>
    <w:bookmarkEnd w:id="18"/>
    <w:p>
      <w:pPr>
        <w:ind w:left="-20" w:right="40" w:firstLine="987"/>
        <w:spacing w:after="0" w:line="258"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Restrictions</w:t>
      </w:r>
      <w:r>
        <w:rPr>
          <w:rFonts w:ascii="Times New Roman" w:cs="Times New Roman" w:eastAsia="Times New Roman" w:hAnsi="Times New Roman"/>
          <w:sz w:val="18"/>
          <w:szCs w:val="18"/>
          <w:color w:val="auto"/>
        </w:rPr>
        <w:t>. Except as disclosed in the Registration Statement or the Prospectus, neither the Company nor any of its subsidiaries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any of the Company or any subsidiary from transferring any property or assets to the Company or to any other subsidiary.</w:t>
      </w:r>
    </w:p>
    <w:p>
      <w:pPr>
        <w:spacing w:after="0" w:line="183"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3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under the Securities Act or any of the Securities Act Regulations to be described in the Registration Statement or the Prospectus that have not been described as required.</w:t>
      </w:r>
    </w:p>
    <w:p>
      <w:pPr>
        <w:spacing w:after="0" w:line="175"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pursuant to this Agreement, there is no broker, finder or other party that is entitled to receive from the Company any brokerage or finder’s fee or other fee or commission as are result of any transactions contemplated by this Agreement.</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4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88"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3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ind w:left="-20" w:right="300" w:firstLine="987"/>
        <w:spacing w:after="0" w:line="261" w:lineRule="auto"/>
        <w:tabs>
          <w:tab w:leader="none" w:pos="13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any of its subsidiaries or, to the knowledge of the Company, any director, officer, agent, employee, affiliate or representative of any of the Company or any of its subsidiaries is a Person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b w:val="1"/>
          <w:bCs w:val="1"/>
          <w:u w:val="single" w:color="auto"/>
          <w:color w:val="auto"/>
        </w:rPr>
        <w:t>UNSC</w:t>
      </w:r>
      <w:r>
        <w:rPr>
          <w:rFonts w:ascii="Times New Roman" w:cs="Times New Roman" w:eastAsia="Times New Roman" w:hAnsi="Times New Roman"/>
          <w:sz w:val="18"/>
          <w:szCs w:val="18"/>
          <w:color w:val="auto"/>
        </w:rPr>
        <w:t>”), the European Union, Her Majesty’s Treasury (“</w:t>
      </w:r>
      <w:r>
        <w:rPr>
          <w:rFonts w:ascii="Times New Roman" w:cs="Times New Roman" w:eastAsia="Times New Roman" w:hAnsi="Times New Roman"/>
          <w:sz w:val="18"/>
          <w:szCs w:val="18"/>
          <w:b w:val="1"/>
          <w:bCs w:val="1"/>
          <w:u w:val="single" w:color="auto"/>
          <w:color w:val="auto"/>
        </w:rPr>
        <w:t>HMT</w:t>
      </w:r>
      <w:r>
        <w:rPr>
          <w:rFonts w:ascii="Times New Roman" w:cs="Times New Roman" w:eastAsia="Times New Roman" w:hAnsi="Times New Roman"/>
          <w:sz w:val="18"/>
          <w:szCs w:val="18"/>
          <w:color w:val="auto"/>
        </w:rPr>
        <w:t>”), or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19" w:name="page20"/>
    <w:bookmarkEnd w:id="19"/>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of Sanctions; and the Company and its subsidiaries will not directly or indirectly use the proceeds of the sale of the Placement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Registration Statement and the Prospectus, the Company (i) does not have</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any material lending or other relationship with any bank or lending affiliate of each Agent and (ii) does not intend to use any of the proceeds from the sale of the Placement Shares to repay any outstanding debt owed to any affiliate of each Agent.</w:t>
      </w:r>
    </w:p>
    <w:p>
      <w:pPr>
        <w:spacing w:after="0" w:line="181" w:lineRule="exact"/>
        <w:rPr>
          <w:sz w:val="20"/>
          <w:szCs w:val="20"/>
          <w:color w:val="auto"/>
        </w:rPr>
      </w:pPr>
    </w:p>
    <w:p>
      <w:pPr>
        <w:jc w:val="both"/>
        <w:ind w:right="140" w:firstLine="987"/>
        <w:spacing w:after="0" w:line="266" w:lineRule="auto"/>
        <w:tabs>
          <w:tab w:leader="none" w:pos="1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75" w:lineRule="exact"/>
        <w:rPr>
          <w:rFonts w:ascii="Times New Roman" w:cs="Times New Roman" w:eastAsia="Times New Roman" w:hAnsi="Times New Roman"/>
          <w:sz w:val="18"/>
          <w:szCs w:val="18"/>
          <w:color w:val="auto"/>
        </w:rPr>
      </w:pPr>
    </w:p>
    <w:p>
      <w:pPr>
        <w:ind w:right="20" w:firstLine="987"/>
        <w:spacing w:after="0" w:line="253"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singly or in the aggregate, reasonably be expected to result in a Material Adverse Effect, (A) there has been no security breach or incident, unauthorized access or disclosure, or other compromise of the Company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(B) neither the Company nor its subsidiaries have been notified of, and the Company has no knowledge of any event or condition that could reasonably be expected to result in, any security breach or incident, unauthorized access or disclosure or other compromise to their IT Systems and Data and (C) the Company and its subsidiaries have implemented appropriate controls, policies, procedures, and technological safeguards to maintain and protect the integrity, availability and security of their IT Systems and Data reasonably consistent with industry standards and practices. The Company and its subsidiaries are presently in compliance with all applicable laws or statutes and all judgments, orders, rules and regulations of any court or arbitrator or governmental or regulatory authority, internal policies and contractual obligations governing the privacy and security of IT Systems and Data, except as would not, singly or in the aggregate,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right="340" w:firstLine="987"/>
        <w:spacing w:after="0" w:line="284" w:lineRule="auto"/>
        <w:tabs>
          <w:tab w:leader="none" w:pos="12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delivered to the Agents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Agents shall be deemed a representation and warranty by the Company to each Agent as to the matters covered thereby.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0" w:name="page21"/>
    <w:bookmarkEnd w:id="20"/>
    <w:p>
      <w:pPr>
        <w:ind w:left="600" w:hanging="184"/>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 The Company covenants and agrees with Agent that:</w:t>
      </w:r>
    </w:p>
    <w:p>
      <w:pPr>
        <w:spacing w:after="0" w:line="225" w:lineRule="exact"/>
        <w:rPr>
          <w:rFonts w:ascii="Times New Roman" w:cs="Times New Roman" w:eastAsia="Times New Roman" w:hAnsi="Times New Roman"/>
          <w:sz w:val="18"/>
          <w:szCs w:val="18"/>
          <w:color w:val="auto"/>
        </w:rPr>
      </w:pPr>
    </w:p>
    <w:p>
      <w:pPr>
        <w:ind w:left="-20" w:firstLine="987"/>
        <w:spacing w:after="0" w:line="251" w:lineRule="auto"/>
        <w:tabs>
          <w:tab w:leader="none" w:pos="12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 Designated Agent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either Agent’s request, any amendments or supplements to the Registration Statement or Prospectus that, in such Agent’s reasonable opinion,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Agents within a reasonable period of time before the filing and neither Agent has objected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either Agent to make such objection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5"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2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60" w:top="270" w:right="459" w:bottom="1440" w:gutter="0" w:footer="0" w:header="0"/>
        </w:sectPr>
      </w:pPr>
    </w:p>
    <w:bookmarkStart w:id="21" w:name="page22"/>
    <w:bookmarkEnd w:id="21"/>
    <w:p>
      <w:pPr>
        <w:ind w:left="-20" w:firstLine="987"/>
        <w:spacing w:after="0" w:line="252" w:lineRule="auto"/>
        <w:tabs>
          <w:tab w:leader="none" w:pos="12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a Designated Agent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Designated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Agents to resume the offering of Placement Shares.</w:t>
      </w:r>
    </w:p>
    <w:p>
      <w:pPr>
        <w:spacing w:after="0" w:line="194" w:lineRule="exact"/>
        <w:rPr>
          <w:rFonts w:ascii="Times New Roman" w:cs="Times New Roman" w:eastAsia="Times New Roman" w:hAnsi="Times New Roman"/>
          <w:sz w:val="18"/>
          <w:szCs w:val="18"/>
          <w:color w:val="auto"/>
        </w:rPr>
      </w:pPr>
    </w:p>
    <w:p>
      <w:pPr>
        <w:ind w:left="-20" w:right="180" w:firstLine="987"/>
        <w:spacing w:after="0" w:line="282" w:lineRule="auto"/>
        <w:tabs>
          <w:tab w:leader="none" w:pos="12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Prior to the date of the first Placement Notice, the Company will use its reasonable best efforts to cause the Placement Shares to be listed on the Exchange.</w:t>
      </w:r>
    </w:p>
    <w:p>
      <w:pPr>
        <w:spacing w:after="0" w:line="161" w:lineRule="exact"/>
        <w:rPr>
          <w:rFonts w:ascii="Times New Roman" w:cs="Times New Roman" w:eastAsia="Times New Roman" w:hAnsi="Times New Roman"/>
          <w:sz w:val="18"/>
          <w:szCs w:val="18"/>
          <w:color w:val="auto"/>
        </w:rPr>
      </w:pPr>
    </w:p>
    <w:p>
      <w:pPr>
        <w:ind w:left="-20" w:right="160" w:firstLine="987"/>
        <w:spacing w:after="0" w:line="254" w:lineRule="auto"/>
        <w:tabs>
          <w:tab w:leader="none" w:pos="12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191"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1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will be deemed to have furnished such statement to its security holders to the extent it is available on EDGAR..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22" w:name="page23"/>
    <w:bookmarkEnd w:id="22"/>
    <w:p>
      <w:pPr>
        <w:ind w:left="1240" w:hanging="253"/>
        <w:spacing w:after="0"/>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firstLine="987"/>
        <w:spacing w:after="0" w:line="235"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both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 Designated Agent hereunder and ending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immediately following the termination of this Agreement (or, if earlier, the sale of all Placement Shares permitted to be sold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Stock, options to purchase Common Stock or Common Stock issuable upon the exercise of options, or any other awards (including performance awards, restricted shares or restricted stock units),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or exchange of securities (including the exchange of securities of Rani Therapeutics, LLC) or the exercise of warrants, options or other rights or awards in effect or outstanding, and disclosed in filings by the Company available on EDGAR or otherwise in writing to the Agents and (iii) Common Stock or securities convertible into or exchangeable for shares of Common Stock as consideration for mergers, acquisitions, other business combinations or research, collaboration, technology license, development, marketing or other similar agreements or strategic partnerships or alliances occurring after the date of this Agreement which are not issued for capital raising purposes.</w:t>
      </w:r>
    </w:p>
    <w:p>
      <w:pPr>
        <w:spacing w:after="0" w:line="212" w:lineRule="exact"/>
        <w:rPr>
          <w:rFonts w:ascii="Times New Roman" w:cs="Times New Roman" w:eastAsia="Times New Roman" w:hAnsi="Times New Roman"/>
          <w:sz w:val="18"/>
          <w:szCs w:val="18"/>
          <w:color w:val="auto"/>
        </w:rPr>
      </w:pPr>
    </w:p>
    <w:p>
      <w:pPr>
        <w:ind w:right="220" w:firstLine="987"/>
        <w:spacing w:after="0" w:line="266"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Designated Agent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75" w:lineRule="exact"/>
        <w:rPr>
          <w:rFonts w:ascii="Times New Roman" w:cs="Times New Roman" w:eastAsia="Times New Roman" w:hAnsi="Times New Roman"/>
          <w:sz w:val="18"/>
          <w:szCs w:val="18"/>
          <w:color w:val="auto"/>
        </w:rPr>
      </w:pPr>
    </w:p>
    <w:p>
      <w:pPr>
        <w:ind w:right="200" w:firstLine="987"/>
        <w:spacing w:after="0" w:line="266"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right="60" w:firstLine="987"/>
        <w:spacing w:after="0" w:line="25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8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Prior to the date of the first Placement Notice and (2) each time the Company:</w:t>
      </w:r>
    </w:p>
    <w:p>
      <w:pPr>
        <w:spacing w:after="0" w:line="225" w:lineRule="exact"/>
        <w:rPr>
          <w:rFonts w:ascii="Times New Roman" w:cs="Times New Roman" w:eastAsia="Times New Roman" w:hAnsi="Times New Roman"/>
          <w:sz w:val="18"/>
          <w:szCs w:val="18"/>
          <w:color w:val="auto"/>
        </w:rPr>
      </w:pPr>
    </w:p>
    <w:p>
      <w:pPr>
        <w:jc w:val="both"/>
        <w:ind w:right="400" w:firstLine="1428"/>
        <w:spacing w:after="0" w:line="261" w:lineRule="auto"/>
        <w:tabs>
          <w:tab w:leader="none" w:pos="164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color w:val="auto"/>
        </w:rPr>
      </w:pPr>
    </w:p>
    <w:p>
      <w:pPr>
        <w:ind w:right="640" w:firstLine="1428"/>
        <w:spacing w:after="0" w:line="282" w:lineRule="auto"/>
        <w:tabs>
          <w:tab w:leader="none" w:pos="16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ind w:firstLine="1428"/>
        <w:spacing w:after="0" w:line="261" w:lineRule="auto"/>
        <w:tabs>
          <w:tab w:leader="none" w:pos="173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Agents (but in the case of clause (iv) above only if the Agents reasonably determine that the information contained in such Form 8-K is material) with a certificate dated the Representation Date, in the form and substance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 Representation Date occurring at a time when a Placement Notice is not in effect or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no Placement Notice was in effect or a Suspension was in effect and did not provide the Agents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either Agent sells any Placement Shares pursuant to such instructions, the Company shall provide the Agents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4" w:name="page25"/>
    <w:bookmarkEnd w:id="24"/>
    <w:p>
      <w:pPr>
        <w:ind w:right="40" w:firstLine="987"/>
        <w:spacing w:after="0" w:line="253"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Agents a written opinion and negative assurance letter of Cooley LLP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Counsel</w:t>
      </w:r>
      <w:r>
        <w:rPr>
          <w:rFonts w:ascii="Times New Roman" w:cs="Times New Roman" w:eastAsia="Times New Roman" w:hAnsi="Times New Roman"/>
          <w:sz w:val="18"/>
          <w:szCs w:val="18"/>
          <w:color w:val="auto"/>
        </w:rPr>
        <w:t>”), or other counsel satisfactory to the Agents, in form and substance satisfactory to the Agents and their counsel, substantially similar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be required to furnish to the Agents no more than one opinion and negative assurance letter hereunder per calendar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lieu of such opinions or negative assurance letters for subsequent periodic filings under the Exchange Act, counsel may furnish the Agents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a prior opinion or negative assurance letter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or negative assurance letter, as the case may be, shall be deemed to relate to the Registration Statement and the Prospectus as amended or supplemented as of the date of the Reliance Letter).</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Agents letters (the “</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Agents, the Company shall cause a Comfort Letter to be furnished to the Agents within ten (10) Trading Days of the date of occurrence of any material transaction or event,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jc w:val="both"/>
        <w:ind w:right="100" w:firstLine="987"/>
        <w:spacing w:after="0" w:line="266"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7" w:lineRule="exact"/>
        <w:rPr>
          <w:rFonts w:ascii="Times New Roman" w:cs="Times New Roman" w:eastAsia="Times New Roman" w:hAnsi="Times New Roman"/>
          <w:sz w:val="18"/>
          <w:szCs w:val="18"/>
          <w:color w:val="auto"/>
        </w:rPr>
      </w:pPr>
    </w:p>
    <w:p>
      <w:pPr>
        <w:ind w:right="60" w:firstLine="987"/>
        <w:spacing w:after="0" w:line="254"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90" w:lineRule="exact"/>
        <w:rPr>
          <w:rFonts w:ascii="Times New Roman" w:cs="Times New Roman" w:eastAsia="Times New Roman" w:hAnsi="Times New Roman"/>
          <w:sz w:val="18"/>
          <w:szCs w:val="18"/>
          <w:color w:val="auto"/>
        </w:rPr>
      </w:pPr>
    </w:p>
    <w:p>
      <w:pPr>
        <w:ind w:firstLine="987"/>
        <w:spacing w:after="0" w:line="252" w:lineRule="auto"/>
        <w:tabs>
          <w:tab w:leader="none" w:pos="12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left="4" w:firstLine="987"/>
        <w:spacing w:after="0" w:line="269" w:lineRule="auto"/>
        <w:tabs>
          <w:tab w:leader="none" w:pos="1210"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Certificate; Further Documentation</w:t>
      </w:r>
      <w:r>
        <w:rPr>
          <w:rFonts w:ascii="Times New Roman" w:cs="Times New Roman" w:eastAsia="Times New Roman" w:hAnsi="Times New Roman"/>
          <w:sz w:val="17"/>
          <w:szCs w:val="17"/>
          <w:color w:val="auto"/>
        </w:rPr>
        <w:t>. Prior to the date of the first Placement Notice, the Company shall deliver to the Agents a certificate of the Secretary of the Company and attested to by an executive officer of the Company, dated as of such date, certifying as to (i) the Amended and Restated Certificate of Incorporation of the Company, (ii) the Amended and Restated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each Representation Date, the Company shall have furnished to the Agents such further information, certificates and documents as the Agents may reasonably request.</w:t>
      </w:r>
    </w:p>
    <w:p>
      <w:pPr>
        <w:spacing w:after="0" w:line="18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Agents if the Company ceases to be an Emerging Growth Company at any time during the term of this Agreement.</w:t>
      </w:r>
    </w:p>
    <w:p>
      <w:pPr>
        <w:spacing w:after="0" w:line="161" w:lineRule="exact"/>
        <w:rPr>
          <w:rFonts w:ascii="Times New Roman" w:cs="Times New Roman" w:eastAsia="Times New Roman" w:hAnsi="Times New Roman"/>
          <w:sz w:val="18"/>
          <w:szCs w:val="18"/>
          <w:color w:val="auto"/>
        </w:rPr>
      </w:pPr>
    </w:p>
    <w:p>
      <w:pPr>
        <w:ind w:left="4" w:firstLine="436"/>
        <w:spacing w:after="0" w:line="252" w:lineRule="auto"/>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fees and expenses of Agent including but not limited to the fees and expenses of the counsel to the Agents, (a) payable within 30 days of the execution of this Agreement, in an amount not to exceed $75,000 in connection with the execution of this Agreement, and (b) payable in connection with each Representation Date on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in an amount not to exceed $25,000 per calendar quarter,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7" w:name="page28"/>
    <w:bookmarkEnd w:id="27"/>
    <w:p>
      <w:pPr>
        <w:ind w:right="260" w:firstLine="436"/>
        <w:spacing w:after="0" w:line="261"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their reasonable judgment, and to the continuing satisfaction (or waiver by the Agents in their sole discretion) of the following additional conditions:</w:t>
      </w:r>
    </w:p>
    <w:p>
      <w:pPr>
        <w:spacing w:after="0" w:line="179"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resale of all Placement Shares issued to the Agents and not yet sold by the Agents and (ii) sale of all Placement Shares contemplated to be issued by any Placement Notice.</w:t>
      </w:r>
    </w:p>
    <w:p>
      <w:pPr>
        <w:spacing w:after="0" w:line="175"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Neither Agent shall have advised the Company that the Registration Statement or Prospectus, or any amendment or supplement thereto, contains an untrue statement of fact that in such Agent’s reasonable opinion, in consultation with outside counsel, is material, or omits to state a fact that in such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firstLine="987"/>
        <w:spacing w:after="0" w:line="282"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xml:space="preserve">. The Agents shall have received the opinions of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color w:val="auto"/>
        </w:rPr>
      </w:pPr>
    </w:p>
    <w:p>
      <w:pPr>
        <w:ind w:right="320" w:firstLine="987"/>
        <w:spacing w:after="0" w:line="266"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0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Agents as described in the Prospectus.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20" w:firstLine="987"/>
        <w:spacing w:after="0" w:line="266" w:lineRule="auto"/>
        <w:tabs>
          <w:tab w:leader="none" w:pos="12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Agents, their affiliates and their respective partners, members, directors, officers, employees and agents and each person, if any, who controls any Agent or any affiliate within the meaning of Section 15 of the Securities Act or Section 20 of the Exchange Act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firstLine="1428"/>
        <w:spacing w:after="0" w:line="256" w:lineRule="auto"/>
        <w:tabs>
          <w:tab w:leader="none" w:pos="16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right="120" w:firstLine="1428"/>
        <w:spacing w:after="0" w:line="258" w:lineRule="auto"/>
        <w:tabs>
          <w:tab w:leader="none" w:pos="16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ind w:right="120" w:firstLine="1428"/>
        <w:spacing w:after="0" w:line="261" w:lineRule="auto"/>
        <w:tabs>
          <w:tab w:leader="none" w:pos="17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Agents’ Information (as defined below).</w:t>
      </w:r>
    </w:p>
    <w:p>
      <w:pPr>
        <w:spacing w:after="0" w:line="175" w:lineRule="exact"/>
        <w:rPr>
          <w:sz w:val="20"/>
          <w:szCs w:val="20"/>
          <w:color w:val="auto"/>
        </w:rPr>
      </w:pPr>
    </w:p>
    <w:p>
      <w:pPr>
        <w:ind w:right="160" w:firstLine="987"/>
        <w:spacing w:after="0" w:line="253"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xml:space="preserve">. Each Agent, severally and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ind w:firstLine="987"/>
        <w:spacing w:after="0" w:line="251"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 Indemnified parties will reasonably cooperate with the indemnifying party or indemnifying parties in the investigation and defense of any claim for which indemnification is sought hereunder.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ind w:left="-20" w:right="120" w:firstLine="987"/>
        <w:spacing w:after="0" w:line="257" w:lineRule="auto"/>
        <w:tabs>
          <w:tab w:leader="none" w:pos="12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and documented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left="-20" w:firstLine="987"/>
        <w:spacing w:after="0" w:line="251"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Times New Roman" w:cs="Times New Roman" w:eastAsia="Times New Roman" w:hAnsi="Times New Roman"/>
          <w:sz w:val="18"/>
          <w:szCs w:val="18"/>
          <w:u w:val="single" w:color="auto"/>
          <w:color w:val="auto"/>
        </w:rPr>
        <w:t>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Agents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68" w:right="4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Agents and any officers, directors, partners, employees or agents of the Agents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pacing w:after="0" w:line="194" w:lineRule="exact"/>
        <w:rPr>
          <w:sz w:val="20"/>
          <w:szCs w:val="20"/>
          <w:color w:val="auto"/>
        </w:rPr>
      </w:pPr>
    </w:p>
    <w:p>
      <w:pPr>
        <w:ind w:right="140" w:firstLine="436"/>
        <w:spacing w:after="0" w:line="258" w:lineRule="auto"/>
        <w:tabs>
          <w:tab w:leader="none" w:pos="7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may each terminate this Agreement with respect to such Agent,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either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72" w:lineRule="exact"/>
        <w:rPr>
          <w:sz w:val="20"/>
          <w:szCs w:val="20"/>
          <w:color w:val="auto"/>
        </w:rPr>
      </w:pPr>
    </w:p>
    <w:p>
      <w:pPr>
        <w:ind w:right="40" w:firstLine="987"/>
        <w:spacing w:after="0" w:line="261" w:lineRule="auto"/>
        <w:tabs>
          <w:tab w:leader="none" w:pos="12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as to one Agent or in its entirety,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Agent shall have the right, by giving ten (10) days’ notice as hereinafter specified to terminate this Agreement, as to such Agent,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w:t>
      </w:r>
    </w:p>
    <w:p>
      <w:pPr>
        <w:spacing w:after="0" w:line="65"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such Agent or the Company, as the case may be. If such termination shall occur prior to the Settlement Date for any sale of Placement Shares, such Placement Shares shall settle in accordance with the provisions of this Agreement.</w:t>
      </w:r>
    </w:p>
    <w:p>
      <w:pPr>
        <w:spacing w:after="0" w:line="73" w:lineRule="exact"/>
        <w:rPr>
          <w:rFonts w:ascii="Times New Roman" w:cs="Times New Roman" w:eastAsia="Times New Roman" w:hAnsi="Times New Roman"/>
          <w:sz w:val="18"/>
          <w:szCs w:val="18"/>
          <w:color w:val="auto"/>
        </w:rPr>
      </w:pPr>
    </w:p>
    <w:p>
      <w:pPr>
        <w:ind w:right="280" w:firstLine="436"/>
        <w:spacing w:after="0" w:line="282"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Capital Markets</w:t>
      </w:r>
    </w:p>
    <w:p>
      <w:pPr>
        <w:spacing w:after="0" w:line="9"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[***]@cantor.com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4" w:name="page35"/>
    <w:bookmarkEnd w:id="34"/>
    <w:p>
      <w:pPr>
        <w:ind w:left="980"/>
        <w:spacing w:after="0"/>
        <w:tabs>
          <w:tab w:leader="none" w:pos="2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Attention:</w:t>
      </w:r>
      <w:r>
        <w:rPr>
          <w:sz w:val="20"/>
          <w:szCs w:val="20"/>
          <w:color w:val="auto"/>
        </w:rPr>
        <w:tab/>
      </w:r>
      <w:r>
        <w:rPr>
          <w:rFonts w:ascii="Times New Roman" w:cs="Times New Roman" w:eastAsia="Times New Roman" w:hAnsi="Times New Roman"/>
          <w:sz w:val="18"/>
          <w:szCs w:val="18"/>
          <w:color w:val="auto"/>
        </w:rPr>
        <w:t>General Counsel</w:t>
      </w:r>
    </w:p>
    <w:p>
      <w:pPr>
        <w:spacing w:after="0" w:line="27"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[***]@cantor.com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430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[***]@hcwco.com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Siavosh Salimi</w:t>
      </w:r>
    </w:p>
    <w:p>
      <w:pPr>
        <w:spacing w:after="0" w:line="9"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[***]@goodwinlaw.com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ind w:left="9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[***]@ranitherapeutics.com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9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John McKenna</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Josh Seidenfeld</w:t>
      </w:r>
    </w:p>
    <w:p>
      <w:pPr>
        <w:spacing w:after="0" w:line="9" w:lineRule="exact"/>
        <w:rPr>
          <w:sz w:val="20"/>
          <w:szCs w:val="20"/>
          <w:color w:val="auto"/>
        </w:rPr>
      </w:pPr>
    </w:p>
    <w:p>
      <w:pPr>
        <w:jc w:val="right"/>
        <w:ind w:right="7540"/>
        <w:spacing w:after="0"/>
        <w:tabs>
          <w:tab w:leader="none" w:pos="8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[***]@cooley.com</w:t>
      </w:r>
    </w:p>
    <w:p>
      <w:pPr>
        <w:spacing w:after="0" w:line="9" w:lineRule="exact"/>
        <w:rPr>
          <w:sz w:val="20"/>
          <w:szCs w:val="20"/>
          <w:color w:val="auto"/>
        </w:rPr>
      </w:pPr>
    </w:p>
    <w:p>
      <w:pPr>
        <w:jc w:val="right"/>
        <w:ind w:right="7540"/>
        <w:spacing w:after="0"/>
        <w:rPr>
          <w:sz w:val="20"/>
          <w:szCs w:val="20"/>
          <w:color w:val="auto"/>
        </w:rPr>
      </w:pPr>
      <w:r>
        <w:rPr>
          <w:rFonts w:ascii="Times New Roman" w:cs="Times New Roman" w:eastAsia="Times New Roman" w:hAnsi="Times New Roman"/>
          <w:sz w:val="18"/>
          <w:szCs w:val="18"/>
          <w:color w:val="auto"/>
        </w:rPr>
        <w:t>[***]@cooley.com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 Each such notice or other communication shall be deemed given (i) when delivered personally or by verifiable facsimile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 original to follow) on or before 4:30 p.m., New York City time, on a Business Day or, if such day is not a Business Day or if delivered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4:30 p.m. on a Business Day, on the next succeeding Business Day, (ii) by Electronic Notice as set forth in the next paragraph, (iii) on the next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after timely delivery to a nationally-recognized overnight courier and (iv) on the Business Day actually received if deposited in the U.S.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or registered mail, return receipt requested, postage prepaid). For purposes of this Agreement,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75" w:lineRule="exact"/>
        <w:rPr>
          <w:sz w:val="20"/>
          <w:szCs w:val="20"/>
          <w:color w:val="auto"/>
        </w:rPr>
      </w:pPr>
    </w:p>
    <w:p>
      <w:pPr>
        <w:ind w:right="100" w:firstLine="436"/>
        <w:spacing w:after="0" w:line="255"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Agents and their respective successors and the parties referred to in Section 10 hereof. References to any of the parties contained in this Agreement shall be deemed to include the successors and permitted assigns of each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Agents may assign their rights and obligations hereunder to an affiliate thereof without obtaining the Company’s consent.</w:t>
      </w:r>
    </w:p>
    <w:p>
      <w:pPr>
        <w:spacing w:after="0" w:line="80"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53"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36" w:name="page37"/>
    <w:bookmarkEnd w:id="36"/>
    <w:p>
      <w:pPr>
        <w:ind w:left="-20" w:right="140" w:firstLine="436"/>
        <w:spacing w:after="0" w:line="259"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AND TIME; WAIVER OF JURY TRIAL</w:t>
      </w:r>
      <w:r>
        <w:rPr>
          <w:rFonts w:ascii="Times New Roman" w:cs="Times New Roman" w:eastAsia="Times New Roman" w:hAnsi="Times New Roman"/>
          <w:sz w:val="18"/>
          <w:szCs w:val="18"/>
          <w:b w:val="1"/>
          <w:bCs w:val="1"/>
          <w:color w:val="auto"/>
        </w:rPr>
        <w:t xml:space="preserve">. THIS AGREEMENT SHALL BE GOVERNED BY AND CONSTRUED IN ACCORDANCE WITH THE LAWS OF THE STATE OF NEW YORK WITHOUT REGARD TO THE PRINCIPLES OF CONFLICTS OF LAWS. SPECIFIED TIMES OF DAY REFER TO </w:t>
      </w:r>
      <w:r>
        <w:rPr>
          <w:rFonts w:ascii="Times New Roman" w:cs="Times New Roman" w:eastAsia="Times New Roman" w:hAnsi="Times New Roman"/>
          <w:sz w:val="18"/>
          <w:szCs w:val="18"/>
          <w:color w:val="auto"/>
        </w:rPr>
        <w:t>NEW YORK CITY TIME. EACH PARTY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WAIVES, TO THE FULLEST EXTENT PERMITTED BY APPLICABLE LAW, ANY AND ALL RIGHT TO TRIAL BY JURY IN ANY LEGAL PROCEEDING ARISING OUT OF OR RELATING TO THIS AGREEMENT OR THE TRANSACTIONS CONTEMPLATED HEREBY.</w:t>
      </w:r>
    </w:p>
    <w:p>
      <w:pPr>
        <w:spacing w:after="0" w:line="71" w:lineRule="exact"/>
        <w:rPr>
          <w:rFonts w:ascii="Times New Roman" w:cs="Times New Roman" w:eastAsia="Times New Roman" w:hAnsi="Times New Roman"/>
          <w:sz w:val="18"/>
          <w:szCs w:val="18"/>
          <w:color w:val="auto"/>
        </w:rPr>
      </w:pPr>
    </w:p>
    <w:p>
      <w:pPr>
        <w:ind w:left="-20" w:firstLine="436"/>
        <w:spacing w:after="0" w:line="253"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85"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7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Agents (which consent shall not be unreasonable withheld or delayed), and the Agents each represents, warrants and agrees that, unless it obtains the prior written consent of the Company (which consent shall not be unreasonable withheld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266" w:right="459" w:bottom="1440" w:gutter="0" w:footer="0" w:header="0"/>
        </w:sectPr>
      </w:pPr>
    </w:p>
    <w:bookmarkStart w:id="37" w:name="page38"/>
    <w:bookmarkEnd w:id="3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are Permitted Free Writing Prospectuses.</w:t>
      </w:r>
    </w:p>
    <w:p>
      <w:pPr>
        <w:spacing w:after="0" w:line="75" w:lineRule="exact"/>
        <w:rPr>
          <w:sz w:val="20"/>
          <w:szCs w:val="20"/>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rFonts w:ascii="Times New Roman" w:cs="Times New Roman" w:eastAsia="Times New Roman" w:hAnsi="Times New Roman"/>
          <w:sz w:val="18"/>
          <w:szCs w:val="18"/>
          <w:color w:val="auto"/>
        </w:rPr>
      </w:pPr>
    </w:p>
    <w:p>
      <w:pPr>
        <w:ind w:right="200" w:firstLine="987"/>
        <w:spacing w:after="0" w:line="256" w:lineRule="auto"/>
        <w:tabs>
          <w:tab w:leader="none" w:pos="12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are acting solely as agents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the Agents have advised or are advising the Company on other matters, and the Agents have no obligation to the Company with respect to the transactions contemplated by this Agreement except the obligations expressly set forth in this Agreement;</w:t>
      </w:r>
    </w:p>
    <w:p>
      <w:pPr>
        <w:spacing w:after="0" w:line="79" w:lineRule="exact"/>
        <w:rPr>
          <w:rFonts w:ascii="Times New Roman" w:cs="Times New Roman" w:eastAsia="Times New Roman" w:hAnsi="Times New Roman"/>
          <w:sz w:val="18"/>
          <w:szCs w:val="18"/>
          <w:color w:val="auto"/>
        </w:rPr>
      </w:pPr>
    </w:p>
    <w:p>
      <w:pPr>
        <w:ind w:right="760" w:firstLine="987"/>
        <w:spacing w:after="0" w:line="282"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53" w:lineRule="exact"/>
        <w:rPr>
          <w:rFonts w:ascii="Times New Roman" w:cs="Times New Roman" w:eastAsia="Times New Roman" w:hAnsi="Times New Roman"/>
          <w:sz w:val="18"/>
          <w:szCs w:val="18"/>
          <w:color w:val="auto"/>
        </w:rPr>
      </w:pPr>
    </w:p>
    <w:p>
      <w:pPr>
        <w:jc w:val="both"/>
        <w:ind w:right="400" w:firstLine="987"/>
        <w:spacing w:after="0" w:line="312" w:lineRule="auto"/>
        <w:tabs>
          <w:tab w:leader="none" w:pos="123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Agents nor their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31" w:lineRule="exact"/>
        <w:rPr>
          <w:rFonts w:ascii="Times New Roman" w:cs="Times New Roman" w:eastAsia="Times New Roman" w:hAnsi="Times New Roman"/>
          <w:sz w:val="17"/>
          <w:szCs w:val="17"/>
          <w:color w:val="auto"/>
        </w:rPr>
      </w:pPr>
    </w:p>
    <w:p>
      <w:pPr>
        <w:jc w:val="both"/>
        <w:ind w:right="100" w:firstLine="987"/>
        <w:spacing w:after="0" w:line="266" w:lineRule="auto"/>
        <w:tabs>
          <w:tab w:leader="none" w:pos="124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the Agents and their affiliates are engaged in a broad range of transactions which may involve interests that differ from those of the Company and the Agents and their affiliates have no obligation to disclose such interests and transactions to the Company by virtue of any fiduciary, advisory or agency relationship or otherwise; and</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the Agents or their affiliates for breach of fiduciary duty or alleged breach of fiduciary duty in connection with the sale of Placement Shares under this Agreement and agrees that the Agents and their affiliates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8" w:name="page39"/>
    <w:bookmarkEnd w:id="38"/>
    <w:p>
      <w:pPr>
        <w:ind w:left="4" w:right="460" w:firstLine="4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53" w:lineRule="exact"/>
        <w:rPr>
          <w:sz w:val="20"/>
          <w:szCs w:val="20"/>
          <w:color w:val="auto"/>
        </w:rPr>
      </w:pPr>
    </w:p>
    <w:p>
      <w:pPr>
        <w:jc w:val="both"/>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40" w:hanging="4"/>
        <w:spacing w:after="0" w:line="255"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82"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66" w:right="47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Agents, please so indicate in the space provided below for that purpose, whereupon this letter shall constitute a binding agreement between the Company and the Agents.</w:t>
      </w:r>
    </w:p>
    <w:p>
      <w:pPr>
        <w:spacing w:after="0" w:line="3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Name:Svai Sanford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Title:Chief Financial Officer</w:t>
      </w:r>
    </w:p>
    <w:p>
      <w:pPr>
        <w:spacing w:after="0" w:line="3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Sage Kelly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Investment Banking</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Edward D. Silvera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[Signature Page to Sales Agreement]</w:t>
      </w:r>
    </w:p>
    <w:p>
      <w:pPr>
        <w:sectPr>
          <w:pgSz w:w="11900" w:h="16838" w:orient="portrait"/>
          <w:cols w:equalWidth="0" w:num="1">
            <w:col w:w="10740"/>
          </w:cols>
          <w:pgMar w:left="440" w:top="270" w:right="7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ectPr>
          <w:pgSz w:w="11900" w:h="16838" w:orient="portrait"/>
          <w:cols w:equalWidth="0" w:num="2">
            <w:col w:w="1240" w:space="720"/>
            <w:col w:w="9040"/>
          </w:cols>
          <w:pgMar w:left="440" w:top="266" w:right="459" w:bottom="1440" w:gutter="0" w:footer="0" w:header="0"/>
          <w:type w:val="continuous"/>
        </w:sectPr>
      </w:pP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200" w:lineRule="exact"/>
        <w:rPr>
          <w:sz w:val="20"/>
          <w:szCs w:val="20"/>
          <w:color w:val="auto"/>
        </w:rPr>
      </w:pPr>
    </w:p>
    <w:p>
      <w:pPr>
        <w:sectPr>
          <w:pgSz w:w="11900" w:h="16838" w:orient="portrait"/>
          <w:cols w:equalWidth="0" w:num="2">
            <w:col w:w="1240" w:space="720"/>
            <w:col w:w="9040"/>
          </w:cols>
          <w:pgMar w:left="440" w:top="266" w:right="459" w:bottom="1440" w:gutter="0" w:footer="0" w:header="0"/>
          <w:type w:val="continuous"/>
        </w:sectPr>
      </w:pPr>
    </w:p>
    <w:p>
      <w:pPr>
        <w:spacing w:after="0" w:line="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26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ectPr>
          <w:pgSz w:w="11900" w:h="16838" w:orient="portrait"/>
          <w:cols w:equalWidth="0" w:num="1">
            <w:col w:w="11000"/>
          </w:cols>
          <w:pgMar w:left="440" w:top="266" w:right="459" w:bottom="1440" w:gutter="0" w:footer="0" w:header="0"/>
          <w:type w:val="continuous"/>
        </w:sectPr>
      </w:pP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Notice</w:t>
      </w:r>
    </w:p>
    <w:p>
      <w:pPr>
        <w:spacing w:after="0" w:line="200" w:lineRule="exact"/>
        <w:rPr>
          <w:sz w:val="20"/>
          <w:szCs w:val="20"/>
          <w:color w:val="auto"/>
        </w:rPr>
      </w:pPr>
    </w:p>
    <w:p>
      <w:pPr>
        <w:sectPr>
          <w:pgSz w:w="11900" w:h="16838" w:orient="portrait"/>
          <w:cols w:equalWidth="0" w:num="2">
            <w:col w:w="1240" w:space="720"/>
            <w:col w:w="9040"/>
          </w:cols>
          <w:pgMar w:left="440" w:top="266" w:right="459" w:bottom="1440" w:gutter="0" w:footer="0" w:header="0"/>
          <w:type w:val="continuous"/>
        </w:sectPr>
      </w:pP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0" w:lineRule="exact"/>
        <w:rPr>
          <w:sz w:val="20"/>
          <w:szCs w:val="20"/>
          <w:color w:val="auto"/>
        </w:rPr>
      </w:pPr>
    </w:p>
    <w:p>
      <w:pPr>
        <w:sectPr>
          <w:pgSz w:w="11900" w:h="16838" w:orient="portrait"/>
          <w:cols w:equalWidth="0" w:num="2">
            <w:col w:w="1240" w:space="720"/>
            <w:col w:w="9040"/>
          </w:cols>
          <w:pgMar w:left="440" w:top="266" w:right="45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Rani Therapeutics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Cantor Fitzgerald &amp; Co. and H.C. Wainwright &amp; Co., LLC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August 24, 2022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the Company hereby requests that [•], as the Designated Agent (as defined in the Agreement), sell up to [•] shares of the Company’s Class A common stock, par value $0.0001 per share, at a minimum market price of $[•] per share, during the time period beginning [month, day, time] and ending [month, day, time].</w:t>
      </w:r>
    </w:p>
    <w:p>
      <w:pPr>
        <w:sectPr>
          <w:pgSz w:w="11900" w:h="16838" w:orient="portrait"/>
          <w:cols w:equalWidth="0" w:num="1">
            <w:col w:w="11000"/>
          </w:cols>
          <w:pgMar w:left="440" w:top="266" w:right="459" w:bottom="1440" w:gutter="0" w:footer="0" w:header="0"/>
          <w:type w:val="continuous"/>
        </w:sectPr>
      </w:pPr>
    </w:p>
    <w:bookmarkStart w:id="41" w:name="page42"/>
    <w:bookmarkEnd w:id="4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to the Designated Agent in cash, upon each sale of Placement Shares pursuant to this Agreement, an amount up to 3.0% of the aggregate gross proceeds from each sale of Placement Shares.</w:t>
      </w:r>
    </w:p>
    <w:p>
      <w:pPr>
        <w:sectPr>
          <w:pgSz w:w="11900" w:h="16838" w:orient="portrait"/>
          <w:cols w:equalWidth="0" w:num="1">
            <w:col w:w="10820"/>
          </w:cols>
          <w:pgMar w:left="440" w:top="266" w:right="639" w:bottom="1440" w:gutter="0" w:footer="0" w:header="0"/>
        </w:sectPr>
      </w:pPr>
    </w:p>
    <w:bookmarkStart w:id="42" w:name="page43"/>
    <w:bookmarkEnd w:id="42"/>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Svai Sanford ([***]@ranitherapeutics.com)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Groen ([***]@ranitherapeutics.com)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Vasudev ([***]@cantor.com)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Chambers ([***]@hcwco.com)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Schwabe ([***]@hcwco.com)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Worthman ([***]@hcwco.com)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[***]@hcwco.com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[***]@hcwco.com</w:t>
      </w:r>
    </w:p>
    <w:p>
      <w:pPr>
        <w:sectPr>
          <w:pgSz w:w="11900" w:h="16838" w:orient="portrait"/>
          <w:cols w:equalWidth="0" w:num="1">
            <w:col w:w="10019"/>
          </w:cols>
          <w:pgMar w:left="440" w:top="266" w:right="1440"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Representation Date Certificate Pursuant to Section 7(l)</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 duly qualified and elected officer of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August 24, 2022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among the Company, Cantor Fitzgerald &amp; Co. and H.C. Wainwright &amp; Co., LLC, that to the best of the knowledge of the undersigned:</w:t>
      </w:r>
    </w:p>
    <w:p>
      <w:pPr>
        <w:spacing w:after="0" w:line="68" w:lineRule="exact"/>
        <w:rPr>
          <w:sz w:val="20"/>
          <w:szCs w:val="20"/>
          <w:color w:val="auto"/>
        </w:rPr>
      </w:pPr>
    </w:p>
    <w:p>
      <w:pPr>
        <w:ind w:right="100" w:firstLine="436"/>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representations and warranties also shall be qualified by the disclosure included or incorporated by reference in the Registration Statement and Prospectus; and</w:t>
      </w:r>
    </w:p>
    <w:p>
      <w:pPr>
        <w:spacing w:after="0" w:line="71" w:lineRule="exact"/>
        <w:rPr>
          <w:rFonts w:ascii="Times New Roman" w:cs="Times New Roman" w:eastAsia="Times New Roman" w:hAnsi="Times New Roman"/>
          <w:sz w:val="18"/>
          <w:szCs w:val="18"/>
          <w:color w:val="auto"/>
        </w:rPr>
      </w:pPr>
    </w:p>
    <w:p>
      <w:pPr>
        <w:ind w:right="500" w:firstLine="436"/>
        <w:spacing w:after="0" w:line="282" w:lineRule="auto"/>
        <w:tabs>
          <w:tab w:leader="none" w:pos="7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Cooley LLP shall be entitled to rely on the representations and warranties made herein for purposes of rendering its legal opinion and negative assurance letter pursuant to Section 7(m) of the Sales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ectPr>
          <w:pgSz w:w="11900" w:h="16838" w:orient="portrait"/>
          <w:cols w:equalWidth="0" w:num="1">
            <w:col w:w="10980"/>
          </w:cols>
          <w:pgMar w:left="440" w:top="266" w:right="4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Legal Opinion Pursuant to Section 7(m)</w:t>
      </w:r>
    </w:p>
    <w:p>
      <w:pPr>
        <w:sectPr>
          <w:pgSz w:w="11900" w:h="16838" w:orient="portrait"/>
          <w:cols w:equalWidth="0" w:num="1">
            <w:col w:w="9019"/>
          </w:cols>
          <w:pgMar w:left="1440" w:top="266" w:right="1440" w:bottom="1440" w:gutter="0" w:footer="0" w:header="0"/>
        </w:sectPr>
      </w:pPr>
    </w:p>
    <w:bookmarkStart w:id="45" w:name="page46"/>
    <w:bookmarkEnd w:id="45"/>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173990</wp:posOffset>
            </wp:positionV>
            <wp:extent cx="1165860" cy="3771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Josh Seidenfeld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+1 650 843 5862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jseidenfeld@cooley.com</w:t>
      </w:r>
    </w:p>
    <w:p>
      <w:pPr>
        <w:spacing w:after="0" w:line="3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25,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of shares of its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having an aggregate offering price of up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$150,000,000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the Registration Statement on Form S-3 (Registration No. 333-266444)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the Company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prospectus included in the Registration Statement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prospectus supplement relating to the Shares, dated August 24, 2022, filed with the Commission pursuant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in accordance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that certain Sales Agreement, dated August 24, 2022, between the Company, Cantor Fitzgerald &amp; Co. and HC Wainwright &amp; Co., LLC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as described in the Prospectus.</w:t>
      </w:r>
    </w:p>
    <w:p>
      <w:pPr>
        <w:spacing w:after="0" w:line="20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the Registration Statement and the Prospectus, the Sales Agreement, the Company’s certificate of incorporation and bylaws, each as currently in effect, and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260"/>
        <w:spacing w:after="0" w:line="272" w:lineRule="auto"/>
        <w:rPr>
          <w:sz w:val="20"/>
          <w:szCs w:val="20"/>
          <w:color w:val="auto"/>
        </w:rPr>
      </w:pPr>
      <w:r>
        <w:rPr>
          <w:rFonts w:ascii="Times New Roman" w:cs="Times New Roman" w:eastAsia="Times New Roman" w:hAnsi="Times New Roman"/>
          <w:sz w:val="17"/>
          <w:szCs w:val="17"/>
          <w:color w:val="auto"/>
        </w:rPr>
        <w:t>We have assumed (i) that each specific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and (ii) that no more than 25,000,000 Shares will be sold for a under the Sales Agreement pursuant to the Prospectus and</w:t>
      </w:r>
    </w:p>
    <w:p>
      <w:pPr>
        <w:spacing w:after="0" w:line="2" w:lineRule="exact"/>
        <w:rPr>
          <w:sz w:val="20"/>
          <w:szCs w:val="20"/>
          <w:color w:val="auto"/>
        </w:rPr>
      </w:pPr>
    </w:p>
    <w:p>
      <w:pPr>
        <w:jc w:val="both"/>
        <w:ind w:left="4" w:right="40" w:hanging="4"/>
        <w:spacing w:after="0" w:line="253" w:lineRule="auto"/>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price at which the Shares are sold will equal or exceed the par value of the Class A Common Stock. We express no opinion to the extent that future issuances of securities of the Company, anti-dilution adjustments to outstanding securities of the Company and/or other matters cause the number of shares of Class A Common Stock available for issuance under the Company’s then effective certificate of incorporation to exceed the number of Shares then issuable under the Sales Agreement.</w:t>
      </w:r>
    </w:p>
    <w:p>
      <w:pPr>
        <w:spacing w:after="0" w:line="189"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jc w:val="center"/>
        <w:ind w:right="-3"/>
        <w:spacing w:after="0"/>
        <w:tabs>
          <w:tab w:leader="none" w:pos="14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3175 Hanover Street</w:t>
        <w:tab/>
        <w:t>Palo Alto, CA</w:t>
      </w:r>
      <w:r>
        <w:rPr>
          <w:sz w:val="20"/>
          <w:szCs w:val="20"/>
          <w:color w:val="auto"/>
        </w:rPr>
        <w:tab/>
      </w:r>
      <w:r>
        <w:rPr>
          <w:rFonts w:ascii="Times New Roman" w:cs="Times New Roman" w:eastAsia="Times New Roman" w:hAnsi="Times New Roman"/>
          <w:sz w:val="17"/>
          <w:szCs w:val="17"/>
          <w:color w:val="auto"/>
        </w:rPr>
        <w:t>94304-1130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(650) 843-5000 f: (650) 849-7400 cooley.com</w:t>
      </w:r>
    </w:p>
    <w:p>
      <w:pPr>
        <w:sectPr>
          <w:pgSz w:w="11900" w:h="16838" w:orient="portrait"/>
          <w:cols w:equalWidth="0" w:num="1">
            <w:col w:w="11024"/>
          </w:cols>
          <w:pgMar w:left="436" w:top="117"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183515</wp:posOffset>
            </wp:positionV>
            <wp:extent cx="1165860" cy="37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25,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5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the basis of the foregoing and in reliance thereon, and subject to the qualifications herein stated, we are of the opinion that the Shares, when issued and paid for in accordance with the Sales Agreement, the Registration Statement and the Prospectus, will be validly issued, fully paid and nonassessable.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Company’s Current Report on Form 8-K filed with the Securities and Exchange Commission on the date hereof and incorporated by reference into the Registration Statement.</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 Seidenfeld</w:t>
      </w:r>
    </w:p>
    <w:p>
      <w:pPr>
        <w:spacing w:after="0" w:line="225" w:lineRule="exact"/>
        <w:rPr>
          <w:sz w:val="20"/>
          <w:szCs w:val="20"/>
          <w:color w:val="auto"/>
        </w:rPr>
      </w:pPr>
    </w:p>
    <w:p>
      <w:pPr>
        <w:jc w:val="center"/>
        <w:ind w:right="-19"/>
        <w:spacing w:after="0"/>
        <w:tabs>
          <w:tab w:leader="none" w:pos="14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Cooley LLP</w:t>
        <w:tab/>
        <w:t>3175 Hanover Street</w:t>
        <w:tab/>
        <w:t>Palo Alto, CA</w:t>
      </w:r>
      <w:r>
        <w:rPr>
          <w:sz w:val="20"/>
          <w:szCs w:val="20"/>
          <w:color w:val="auto"/>
        </w:rPr>
        <w:tab/>
      </w:r>
      <w:r>
        <w:rPr>
          <w:rFonts w:ascii="Times New Roman" w:cs="Times New Roman" w:eastAsia="Times New Roman" w:hAnsi="Times New Roman"/>
          <w:sz w:val="17"/>
          <w:szCs w:val="17"/>
          <w:color w:val="auto"/>
        </w:rPr>
        <w:t>94304-1130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(650) 843-5000 f: (650) 849-7400 cooley.com</w:t>
      </w:r>
    </w:p>
    <w:sectPr>
      <w:pgSz w:w="11900" w:h="16838" w:orient="portrait"/>
      <w:cols w:equalWidth="0" w:num="1">
        <w:col w:w="11000"/>
      </w:cols>
      <w:pgMar w:left="440" w:top="110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1."/>
      <w:numFmt w:val="decimal"/>
      <w:start w:val="5"/>
    </w:lvl>
    <w:lvl w:ilvl="1">
      <w:lvlJc w:val="left"/>
      <w:lvlText w:val="(%2)"/>
      <w:numFmt w:val="lowerLetter"/>
      <w:start w:val="1"/>
    </w:lvl>
  </w:abstractNum>
  <w:abstractNum w:abstractNumId="4">
    <w:nsid w:val="B03E0C6"/>
    <w:multiLevelType w:val="hybridMultilevel"/>
    <w:lvl w:ilvl="0">
      <w:lvlJc w:val="left"/>
      <w:lvlText w:val="%1"/>
      <w:numFmt w:val="decimal"/>
      <w:start w:val="1"/>
    </w:lvl>
    <w:lvl w:ilvl="1">
      <w:lvlJc w:val="left"/>
      <w:lvlText w:val="(%2)"/>
      <w:numFmt w:val="lowerLetter"/>
      <w:start w:val="4"/>
    </w:lvl>
  </w:abstractNum>
  <w:abstractNum w:abstractNumId="5">
    <w:nsid w:val="189A769B"/>
    <w:multiLevelType w:val="hybridMultilevel"/>
    <w:lvl w:ilvl="0">
      <w:lvlJc w:val="left"/>
      <w:lvlText w:val="%1."/>
      <w:numFmt w:val="decimal"/>
      <w:start w:val="6"/>
    </w:lvl>
    <w:lvl w:ilvl="1">
      <w:lvlJc w:val="left"/>
      <w:lvlText w:val="(%2)"/>
      <w:numFmt w:val="lowerLetter"/>
      <w:start w:val="1"/>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upperLetter"/>
      <w:start w:val="1"/>
    </w:lvl>
    <w:lvl w:ilvl="1">
      <w:lvlJc w:val="left"/>
      <w:lvlText w:val="(%2)"/>
      <w:numFmt w:val="lowerLetter"/>
      <w:start w:val="4"/>
    </w:lvl>
  </w:abstractNum>
  <w:abstractNum w:abstractNumId="8">
    <w:nsid w:val="2CA88611"/>
    <w:multiLevelType w:val="hybridMultilevel"/>
    <w:lvl w:ilvl="0">
      <w:lvlJc w:val="left"/>
      <w:lvlText w:val="(%1)"/>
      <w:numFmt w:val="upperLetter"/>
      <w:start w:val="3"/>
    </w:lvl>
    <w:lvl w:ilvl="1">
      <w:lvlJc w:val="left"/>
      <w:lvlText w:val="%2"/>
      <w:numFmt w:val="lowerLetter"/>
      <w:start w:val="1"/>
    </w:lvl>
  </w:abstractNum>
  <w:abstractNum w:abstractNumId="9">
    <w:nsid w:val="836C40E"/>
    <w:multiLevelType w:val="hybridMultilevel"/>
    <w:lvl w:ilvl="0">
      <w:lvlJc w:val="left"/>
      <w:lvlText w:val="(%1)"/>
      <w:numFmt w:val="lowerLetter"/>
      <w:start w:val="9"/>
    </w:lvl>
  </w:abstractNum>
  <w:abstractNum w:abstractNumId="10">
    <w:nsid w:val="2901D82"/>
    <w:multiLevelType w:val="hybridMultilevel"/>
    <w:lvl w:ilvl="0">
      <w:lvlJc w:val="left"/>
      <w:lvlText w:val="(%1)"/>
      <w:numFmt w:val="lowerLetter"/>
      <w:start w:val="11"/>
    </w:lvl>
  </w:abstractNum>
  <w:abstractNum w:abstractNumId="11">
    <w:nsid w:val="3A95F874"/>
    <w:multiLevelType w:val="hybridMultilevel"/>
    <w:lvl w:ilvl="0">
      <w:lvlJc w:val="left"/>
      <w:lvlText w:val="(%1)"/>
      <w:numFmt w:val="lowerLetter"/>
      <w:start w:val="14"/>
    </w:lvl>
  </w:abstractNum>
  <w:abstractNum w:abstractNumId="12">
    <w:nsid w:val="8138641"/>
    <w:multiLevelType w:val="hybridMultilevel"/>
    <w:lvl w:ilvl="0">
      <w:lvlJc w:val="left"/>
      <w:lvlText w:val="(%1)"/>
      <w:numFmt w:val="lowerLetter"/>
      <w:start w:val="16"/>
    </w:lvl>
  </w:abstractNum>
  <w:abstractNum w:abstractNumId="13">
    <w:nsid w:val="1E7FF521"/>
    <w:multiLevelType w:val="hybridMultilevel"/>
    <w:lvl w:ilvl="0">
      <w:lvlJc w:val="left"/>
      <w:lvlText w:val="(%1)"/>
      <w:numFmt w:val="lowerLetter"/>
      <w:start w:val="21"/>
    </w:lvl>
  </w:abstractNum>
  <w:abstractNum w:abstractNumId="14">
    <w:nsid w:val="7C3DBD3D"/>
    <w:multiLevelType w:val="hybridMultilevel"/>
    <w:lvl w:ilvl="0">
      <w:lvlJc w:val="left"/>
      <w:lvlText w:val="%1"/>
      <w:numFmt w:val="upperLetter"/>
      <w:start w:val="1"/>
    </w:lvl>
    <w:lvl w:ilvl="1">
      <w:lvlJc w:val="left"/>
      <w:lvlText w:val="(%2)"/>
      <w:numFmt w:val="lowerLetter"/>
      <w:start w:val="24"/>
    </w:lvl>
  </w:abstractNum>
  <w:abstractNum w:abstractNumId="15">
    <w:nsid w:val="737B8DDC"/>
    <w:multiLevelType w:val="hybridMultilevel"/>
    <w:lvl w:ilvl="0">
      <w:lvlJc w:val="left"/>
      <w:lvlText w:val="(%1)"/>
      <w:numFmt w:val="upperLetter"/>
      <w:start w:val="2"/>
    </w:lvl>
    <w:lvl w:ilvl="1">
      <w:lvlJc w:val="left"/>
      <w:lvlText w:val="(%2)"/>
      <w:numFmt w:val="lowerLetter"/>
      <w:start w:val="25"/>
    </w:lvl>
  </w:abstractNum>
  <w:abstractNum w:abstractNumId="16">
    <w:nsid w:val="6CEAF087"/>
    <w:multiLevelType w:val="hybridMultilevel"/>
    <w:lvl w:ilvl="0">
      <w:lvlJc w:val="left"/>
      <w:lvlText w:val="%1"/>
      <w:numFmt w:val="upperLetter"/>
      <w:start w:val="1"/>
    </w:lvl>
    <w:lvl w:ilvl="1">
      <w:lvlJc w:val="left"/>
      <w:lvlText w:val="(%2)"/>
      <w:numFmt w:val="lowerLetter"/>
      <w:start w:val="27"/>
    </w:lvl>
  </w:abstractNum>
  <w:abstractNum w:abstractNumId="17">
    <w:nsid w:val="22221A70"/>
    <w:multiLevelType w:val="hybridMultilevel"/>
    <w:lvl w:ilvl="0">
      <w:lvlJc w:val="left"/>
      <w:lvlText w:val="(%1)"/>
      <w:numFmt w:val="upperLetter"/>
      <w:start w:val="1"/>
    </w:lvl>
    <w:lvl w:ilvl="1">
      <w:lvlJc w:val="left"/>
      <w:lvlText w:val="(%2)"/>
      <w:numFmt w:val="lowerLetter"/>
      <w:start w:val="29"/>
    </w:lvl>
  </w:abstractNum>
  <w:abstractNum w:abstractNumId="18">
    <w:nsid w:val="4516DDE9"/>
    <w:multiLevelType w:val="hybridMultilevel"/>
    <w:lvl w:ilvl="0">
      <w:lvlJc w:val="left"/>
      <w:lvlText w:val="%1"/>
      <w:numFmt w:val="lowerLetter"/>
      <w:start w:val="1"/>
    </w:lvl>
    <w:lvl w:ilvl="1">
      <w:lvlJc w:val="left"/>
      <w:lvlText w:val="(%2)"/>
      <w:numFmt w:val="lowerLetter"/>
      <w:start w:val="33"/>
    </w:lvl>
  </w:abstractNum>
  <w:abstractNum w:abstractNumId="19">
    <w:nsid w:val="3006C83E"/>
    <w:multiLevelType w:val="hybridMultilevel"/>
    <w:lvl w:ilvl="0">
      <w:lvlJc w:val="left"/>
      <w:lvlText w:val="(%1)"/>
      <w:numFmt w:val="lowerLetter"/>
      <w:start w:val="9"/>
    </w:lvl>
    <w:lvl w:ilvl="1">
      <w:lvlJc w:val="left"/>
      <w:lvlText w:val="%2"/>
      <w:numFmt w:val="lowerLetter"/>
      <w:start w:val="1"/>
    </w:lvl>
  </w:abstractNum>
  <w:abstractNum w:abstractNumId="20">
    <w:nsid w:val="614FD4A1"/>
    <w:multiLevelType w:val="hybridMultilevel"/>
    <w:lvl w:ilvl="0">
      <w:lvlJc w:val="left"/>
      <w:lvlText w:val="(%1)"/>
      <w:numFmt w:val="lowerLetter"/>
      <w:start w:val="34"/>
    </w:lvl>
  </w:abstractNum>
  <w:abstractNum w:abstractNumId="21">
    <w:nsid w:val="419AC241"/>
    <w:multiLevelType w:val="hybridMultilevel"/>
    <w:lvl w:ilvl="0">
      <w:lvlJc w:val="left"/>
      <w:lvlText w:val="(%1)"/>
      <w:numFmt w:val="lowerLetter"/>
      <w:start w:val="36"/>
    </w:lvl>
  </w:abstractNum>
  <w:abstractNum w:abstractNumId="22">
    <w:nsid w:val="5577F8E1"/>
    <w:multiLevelType w:val="hybridMultilevel"/>
    <w:lvl w:ilvl="0">
      <w:lvlJc w:val="left"/>
      <w:lvlText w:val="(%1)"/>
      <w:numFmt w:val="lowerLetter"/>
      <w:start w:val="43"/>
    </w:lvl>
  </w:abstractNum>
  <w:abstractNum w:abstractNumId="23">
    <w:nsid w:val="440BADFC"/>
    <w:multiLevelType w:val="hybridMultilevel"/>
    <w:lvl w:ilvl="0">
      <w:lvlJc w:val="left"/>
      <w:lvlText w:val="%1."/>
      <w:numFmt w:val="decimal"/>
      <w:start w:val="7"/>
    </w:lvl>
    <w:lvl w:ilvl="1">
      <w:lvlJc w:val="left"/>
      <w:lvlText w:val="(%2)"/>
      <w:numFmt w:val="lowerLetter"/>
      <w:start w:val="1"/>
    </w:lvl>
  </w:abstractNum>
  <w:abstractNum w:abstractNumId="24">
    <w:nsid w:val="5072367"/>
    <w:multiLevelType w:val="hybridMultilevel"/>
    <w:lvl w:ilvl="0">
      <w:lvlJc w:val="left"/>
      <w:lvlText w:val="(%1)"/>
      <w:numFmt w:val="lowerLetter"/>
      <w:start w:val="3"/>
    </w:lvl>
  </w:abstractNum>
  <w:abstractNum w:abstractNumId="25">
    <w:nsid w:val="3804823E"/>
    <w:multiLevelType w:val="hybridMultilevel"/>
    <w:lvl w:ilvl="0">
      <w:lvlJc w:val="left"/>
      <w:lvlText w:val="(%1)"/>
      <w:numFmt w:val="lowerLetter"/>
      <w:start w:val="7"/>
    </w:lvl>
  </w:abstractNum>
  <w:abstractNum w:abstractNumId="26">
    <w:nsid w:val="77465F01"/>
    <w:multiLevelType w:val="hybridMultilevel"/>
    <w:lvl w:ilvl="0">
      <w:lvlJc w:val="left"/>
      <w:lvlText w:val="(%1)"/>
      <w:numFmt w:val="lowerLetter"/>
      <w:start w:val="11"/>
    </w:lvl>
    <w:lvl w:ilvl="1">
      <w:lvlJc w:val="left"/>
      <w:lvlText w:val="(%2)"/>
      <w:numFmt w:val="lowerRoman"/>
      <w:start w:val="1"/>
    </w:lvl>
  </w:abstractNum>
  <w:abstractNum w:abstractNumId="27">
    <w:nsid w:val="7724C67E"/>
    <w:multiLevelType w:val="hybridMultilevel"/>
    <w:lvl w:ilvl="0">
      <w:lvlJc w:val="left"/>
      <w:lvlText w:val="(%1)"/>
      <w:numFmt w:val="lowerLetter"/>
      <w:start w:val="13"/>
    </w:lvl>
  </w:abstractNum>
  <w:abstractNum w:abstractNumId="28">
    <w:nsid w:val="5C482A97"/>
    <w:multiLevelType w:val="hybridMultilevel"/>
    <w:lvl w:ilvl="0">
      <w:lvlJc w:val="left"/>
      <w:lvlText w:val="(%1)"/>
      <w:numFmt w:val="lowerLetter"/>
      <w:start w:val="16"/>
    </w:lvl>
  </w:abstractNum>
  <w:abstractNum w:abstractNumId="29">
    <w:nsid w:val="2463B9E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0"/>
    </w:lvl>
  </w:abstractNum>
  <w:abstractNum w:abstractNumId="30">
    <w:nsid w:val="5E884ADC"/>
    <w:multiLevelType w:val="hybridMultilevel"/>
    <w:lvl w:ilvl="0">
      <w:lvlJc w:val="left"/>
      <w:lvlText w:val="(%1)"/>
      <w:numFmt w:val="decimal"/>
      <w:start w:val="5"/>
    </w:lvl>
    <w:lvl w:ilvl="1">
      <w:lvlJc w:val="left"/>
      <w:lvlText w:val="%2."/>
      <w:numFmt w:val="decimal"/>
      <w:start w:val="7"/>
    </w:lvl>
    <w:lvl w:ilvl="2">
      <w:lvlJc w:val="left"/>
      <w:lvlText w:val="(%3)"/>
      <w:numFmt w:val="lowerLetter"/>
      <w:start w:val="21"/>
    </w:lvl>
  </w:abstractNum>
  <w:abstractNum w:abstractNumId="31">
    <w:nsid w:val="51EAD36B"/>
    <w:multiLevelType w:val="hybridMultilevel"/>
    <w:lvl w:ilvl="0">
      <w:lvlJc w:val="left"/>
      <w:lvlText w:val="%1."/>
      <w:numFmt w:val="decimal"/>
      <w:start w:val="9"/>
    </w:lvl>
    <w:lvl w:ilvl="1">
      <w:lvlJc w:val="left"/>
      <w:lvlText w:val="(%2)"/>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5"/>
    </w:lvl>
  </w:abstractNum>
  <w:abstractNum w:abstractNumId="33">
    <w:nsid w:val="580BD78F"/>
    <w:multiLevelType w:val="hybridMultilevel"/>
    <w:lvl w:ilvl="0">
      <w:lvlJc w:val="left"/>
      <w:lvlText w:val="%1."/>
      <w:numFmt w:val="decimal"/>
      <w:start w:val="10"/>
    </w:lvl>
    <w:lvl w:ilvl="1">
      <w:lvlJc w:val="left"/>
      <w:lvlText w:val="(%2)"/>
      <w:numFmt w:val="lowerLetter"/>
      <w:start w:val="1"/>
    </w:lvl>
  </w:abstractNum>
  <w:abstractNum w:abstractNumId="34">
    <w:nsid w:val="153EA438"/>
    <w:multiLevelType w:val="hybridMultilevel"/>
    <w:lvl w:ilvl="0">
      <w:lvlJc w:val="left"/>
      <w:lvlText w:val="(%1)"/>
      <w:numFmt w:val="lowerRoman"/>
      <w:start w:val="1"/>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lowerLetter"/>
      <w:start w:val="3"/>
    </w:lvl>
  </w:abstractNum>
  <w:abstractNum w:abstractNumId="37">
    <w:nsid w:val="6A2342EC"/>
    <w:multiLevelType w:val="hybridMultilevel"/>
    <w:lvl w:ilvl="0">
      <w:lvlJc w:val="left"/>
      <w:lvlText w:val="(%1)"/>
      <w:numFmt w:val="lowerLetter"/>
      <w:start w:val="4"/>
    </w:lvl>
  </w:abstractNum>
  <w:abstractNum w:abstractNumId="38">
    <w:nsid w:val="2A487CB0"/>
    <w:multiLevelType w:val="hybridMultilevel"/>
    <w:lvl w:ilvl="0">
      <w:lvlJc w:val="left"/>
      <w:lvlText w:val="%1."/>
      <w:numFmt w:val="decimal"/>
      <w:start w:val="11"/>
    </w:lvl>
    <w:lvl w:ilvl="1">
      <w:lvlJc w:val="left"/>
      <w:lvlText w:val="(%2)"/>
      <w:numFmt w:val="lowerLetter"/>
      <w:start w:val="1"/>
    </w:lvl>
  </w:abstractNum>
  <w:abstractNum w:abstractNumId="39">
    <w:nsid w:val="1D4ED43B"/>
    <w:multiLevelType w:val="hybridMultilevel"/>
    <w:lvl w:ilvl="0">
      <w:lvlJc w:val="left"/>
      <w:lvlText w:val="%1"/>
      <w:numFmt w:val="decimal"/>
      <w:start w:val="1"/>
    </w:lvl>
    <w:lvl w:ilvl="1">
      <w:lvlJc w:val="left"/>
      <w:lvlText w:val="(%2)"/>
      <w:numFmt w:val="lowerLetter"/>
      <w:start w:val="2"/>
    </w:lvl>
  </w:abstractNum>
  <w:abstractNum w:abstractNumId="40">
    <w:nsid w:val="725A06FB"/>
    <w:multiLevelType w:val="hybridMultilevel"/>
    <w:lvl w:ilvl="0">
      <w:lvlJc w:val="left"/>
      <w:lvlText w:val="%1."/>
      <w:numFmt w:val="decimal"/>
      <w:start w:val="13"/>
    </w:lvl>
    <w:lvl w:ilvl="1">
      <w:lvlJc w:val="left"/>
      <w:lvlText w:val="%2"/>
      <w:numFmt w:val="lowerLetter"/>
      <w:start w:val="1"/>
    </w:lvl>
  </w:abstractNum>
  <w:abstractNum w:abstractNumId="41">
    <w:nsid w:val="2CD89A32"/>
    <w:multiLevelType w:val="hybridMultilevel"/>
    <w:lvl w:ilvl="0">
      <w:lvlJc w:val="left"/>
      <w:lvlText w:val="%1."/>
      <w:numFmt w:val="decimal"/>
      <w:start w:val="14"/>
    </w:lvl>
  </w:abstractNum>
  <w:abstractNum w:abstractNumId="42">
    <w:nsid w:val="57E4CCAF"/>
    <w:multiLevelType w:val="hybridMultilevel"/>
    <w:lvl w:ilvl="0">
      <w:lvlJc w:val="left"/>
      <w:lvlText w:val="%1."/>
      <w:numFmt w:val="decimal"/>
      <w:start w:val="17"/>
    </w:lvl>
  </w:abstractNum>
  <w:abstractNum w:abstractNumId="43">
    <w:nsid w:val="7A6D8D3C"/>
    <w:multiLevelType w:val="hybridMultilevel"/>
    <w:lvl w:ilvl="0">
      <w:lvlJc w:val="left"/>
      <w:lvlText w:val="%1."/>
      <w:numFmt w:val="decimal"/>
      <w:start w:val="22"/>
    </w:lvl>
    <w:lvl w:ilvl="1">
      <w:lvlJc w:val="left"/>
      <w:lvlText w:val="(%2)"/>
      <w:numFmt w:val="lowerLetter"/>
      <w:start w:val="1"/>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2022-08-25T07:13:02Z</dcterms:created>
  <dcterms:modified xsi:type="dcterms:W3CDTF">2022-08-25T07:13:02Z</dcterms:modified>
</cp:coreProperties>
</file>