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January 06,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Supply Agreement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6, 2023, Rani Therapeutics, LLC, an operating subsidiary of Rani Therapeutics Holdings, Inc. (“Rani”), and Celltrion, Inc. (“Celltrion”) entered into a License and Supply Agreement (the “License Agreement”). Under the License Agreement, Celltrion grants Rani an exclusive, worldwide, royalty-free license to certain intellectual property to make, use, sell, offer for sale, import and otherwise exploit an orally-administered therapeutic product using Rani’s oral delivery technology and Celltrion’s ustekinumab biosimilar (“Product”) and to use certain information to support the manufacture, development and commercialization of Product. Celltrion will provide, and Rani will purchase, supply of ustekinumab biosimilar at supply prices set forth in the License Agreement. In accordance with the License Agreement, Rani will obtain ustekiunmab biosimilar exclusively from Celltrion for the manufacture, development and commercialization of Product, except that Rani has the right to obtain supply from alternative sources under certain circumstances where Celltrion experiences supply disruption.</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Rani has sole right to manufacture, develop and commercialize Product worldwide, subject to an exclusive right of first negotiation (“ROFN”) granted to Celltrion. Following delivery from Rani to Celltrion of a data package consisting of topline safety information, pharmacokinetic results and device performance, and the raw data related to topline results from a phase 1 clinical trial of Product that meets its primary endpoints (“Data Package”), Celltrion will have thirty (30) days to exercise its ROFN. If Celltrion timely exercises the ROFN, then Celltrion will have an exclusive period of ninety (90) days to negotiate in good faith a definitive agreement with Rani for rights to clinically develop and commercialize Product in territories selected by Celltrion. In the event Celltrion does not timely exercise the ROFN or Celltrion notifies Rani that it does not intend to exercise the ROFN or, after timely exercising the ROFN, notifies Rani that Celltrion withdraws its exercise of the ROFN, or the parties fail to enter into a definitive agreement for the development and commercialization of Product within the exclusive negotiation period, then the ROFN will terminate and Rani will have no further obligations under the License Agreement related to a ROFN. The License Agreement allocates rights between the parties with respect to inventions generated in performance of the License Agreement for the manufacture, development and commercialization of Product. Rani will own all data related to the research, development, manufacture, regulatory activities and commercialization of Product conducted by Rani hereunder.</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License Agreement contains customary representations, warranties and covenants, and mutual indemnification provisions. Under the License Agreement, Rani has a right to terminate for convenience subject to certain notice periods, and subject to certain conditions if terminated prior to completion of a phase 1 trial. Celltrion has a right to terminate if Rani does not achieve certain development milestones, and each party has certain rights to terminate for material breach or safety concerns regarding the ustekinumab biosimilar or Product.</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description of the License Agreement contained herein does not purport to be complete and is qualified in its entirety by reference to the complete text of the License Agreement, a copy of which will be filed as an exhibit to the Company’s Annual Report on Form 10-K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2023-01-09T07:11:23Z</dcterms:created>
  <dcterms:modified xsi:type="dcterms:W3CDTF">2023-01-09T07:11:23Z</dcterms:modified>
</cp:coreProperties>
</file>