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As filed with the U.S. Securities and Exchange Commission on August 3, 2021</w:t>
      </w:r>
    </w:p>
    <w:p>
      <w:pPr>
        <w:spacing w:after="0" w:line="77" w:lineRule="exact"/>
        <w:rPr>
          <w:sz w:val="24"/>
          <w:szCs w:val="24"/>
          <w:color w:val="auto"/>
        </w:rPr>
      </w:pPr>
    </w:p>
    <w:p>
      <w:pPr>
        <w:ind w:left="866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S-8</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REGISTRATION STATEMENT</w:t>
      </w:r>
    </w:p>
    <w:p>
      <w:pPr>
        <w:jc w:val="center"/>
        <w:ind w:right="-39"/>
        <w:spacing w:after="0" w:line="231" w:lineRule="auto"/>
        <w:rPr>
          <w:sz w:val="20"/>
          <w:szCs w:val="20"/>
          <w:color w:val="auto"/>
        </w:rPr>
      </w:pPr>
      <w:r>
        <w:rPr>
          <w:rFonts w:ascii="Arial" w:cs="Arial" w:eastAsia="Arial" w:hAnsi="Arial"/>
          <w:sz w:val="22"/>
          <w:szCs w:val="22"/>
          <w:b w:val="1"/>
          <w:bCs w:val="1"/>
          <w:i w:val="1"/>
          <w:iCs w:val="1"/>
          <w:color w:val="auto"/>
        </w:rPr>
        <w:t>UNDER</w:t>
      </w:r>
    </w:p>
    <w:p>
      <w:pPr>
        <w:jc w:val="center"/>
        <w:ind w:right="-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Rani Therapeutics Holdings,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960"/>
          </w:cols>
          <w:pgMar w:left="440" w:top="229" w:right="49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86-3114789</w:t>
      </w:r>
    </w:p>
    <w:p>
      <w:pPr>
        <w:spacing w:after="0" w:line="31" w:lineRule="exact"/>
        <w:rPr>
          <w:sz w:val="24"/>
          <w:szCs w:val="24"/>
          <w:color w:val="auto"/>
        </w:rPr>
      </w:pPr>
    </w:p>
    <w:p>
      <w:pPr>
        <w:sectPr>
          <w:pgSz w:w="11900" w:h="16838" w:orient="portrait"/>
          <w:cols w:equalWidth="0" w:num="2">
            <w:col w:w="7180" w:space="720"/>
            <w:col w:w="3060"/>
          </w:cols>
          <w:pgMar w:left="440" w:top="229" w:right="499" w:bottom="0" w:gutter="0" w:footer="0" w:header="0"/>
          <w:type w:val="continuous"/>
        </w:sectPr>
      </w:pPr>
    </w:p>
    <w:p>
      <w:pPr>
        <w:spacing w:after="0" w:line="12"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(State or other jurisdiction of</w:t>
      </w:r>
    </w:p>
    <w:p>
      <w:pPr>
        <w:ind w:left="18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060" w:space="720"/>
            <w:col w:w="3180"/>
          </w:cols>
          <w:pgMar w:left="440" w:top="229" w:right="499" w:bottom="0" w:gutter="0" w:footer="0" w:header="0"/>
          <w:type w:val="continuous"/>
        </w:sectPr>
      </w:pP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2051 Ringwood Avenue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San Jose, California 95131</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(408) 457-3700</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(Address of principal executive offices) (Zip code)</w:t>
      </w:r>
    </w:p>
    <w:p>
      <w:pPr>
        <w:sectPr>
          <w:pgSz w:w="11900" w:h="16838" w:orient="portrait"/>
          <w:cols w:equalWidth="0" w:num="1">
            <w:col w:w="10960"/>
          </w:cols>
          <w:pgMar w:left="440" w:top="229" w:right="499" w:bottom="0" w:gutter="0" w:footer="0" w:header="0"/>
          <w:type w:val="continuous"/>
        </w:sectPr>
      </w:pP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Rani Therapeutics Holdings, Inc. 2021 Equity Incentive Plan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Rani Therapeutics Holdings, Inc. 2021 Employee Stock Purchase Plan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Rani Therapeutics, LLC 2016 Equity Incentive Plan</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(Full titles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Talat Imran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Rani Therapeutics Holdings, Inc.</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2051 Ringwood Avenue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San Jose, California 95131</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(408) 457-3700</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and address of agent for service) (Telephone number, including area code, of agent for service)</w:t>
      </w:r>
    </w:p>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Copies to:</w:t>
      </w: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Josh Seidenfeld</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John T. McKenna</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Mark B. Weeks</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Charles S. Kim</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Cooley LLP</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3175 Hanover Street</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Palo Alto, California 94304</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(650) 843-5000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85725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229" w:right="499" w:bottom="0" w:gutter="0" w:footer="0" w:header="0"/>
          <w:type w:val="continuous"/>
        </w:sectPr>
      </w:pPr>
    </w:p>
    <w:bookmarkStart w:id="1" w:name="page2"/>
    <w:bookmarkEnd w:id="1"/>
    <w:tbl>
      <w:tblPr>
        <w:tblLayout w:type="fixed"/>
        <w:tblInd w:w="4" w:type="dxa"/>
        <w:tblCellMar>
          <w:top w:w="0" w:type="dxa"/>
          <w:left w:w="0" w:type="dxa"/>
          <w:bottom w:w="0" w:type="dxa"/>
          <w:right w:w="0" w:type="dxa"/>
        </w:tblCellMar>
      </w:tblPr>
      <w:tr>
        <w:trPr>
          <w:trHeight w:val="139"/>
        </w:trPr>
        <w:tc>
          <w:tcPr>
            <w:tcW w:w="700" w:type="dxa"/>
            <w:vAlign w:val="bottom"/>
            <w:tcBorders>
              <w:top w:val="single" w:sz="8" w:color="auto"/>
            </w:tcBorders>
          </w:tcPr>
          <w:p>
            <w:pPr>
              <w:spacing w:after="0"/>
              <w:rPr>
                <w:sz w:val="12"/>
                <w:szCs w:val="12"/>
                <w:color w:val="auto"/>
              </w:rPr>
            </w:pPr>
          </w:p>
        </w:tc>
        <w:tc>
          <w:tcPr>
            <w:tcW w:w="4180" w:type="dxa"/>
            <w:vAlign w:val="bottom"/>
            <w:tcBorders>
              <w:top w:val="single" w:sz="8" w:color="auto"/>
              <w:right w:val="single" w:sz="8" w:color="auto"/>
            </w:tcBorders>
          </w:tcPr>
          <w:p>
            <w:pPr>
              <w:spacing w:after="0"/>
              <w:rPr>
                <w:sz w:val="12"/>
                <w:szCs w:val="12"/>
                <w:color w:val="auto"/>
              </w:rPr>
            </w:pPr>
          </w:p>
        </w:tc>
        <w:tc>
          <w:tcPr>
            <w:tcW w:w="15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86"/>
              </w:rPr>
              <w:t>Proposed</w:t>
            </w:r>
          </w:p>
        </w:tc>
        <w:tc>
          <w:tcPr>
            <w:tcW w:w="154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86"/>
              </w:rPr>
              <w:t>Proposed</w:t>
            </w:r>
          </w:p>
        </w:tc>
        <w:tc>
          <w:tcPr>
            <w:tcW w:w="15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4180" w:type="dxa"/>
            <w:vAlign w:val="bottom"/>
            <w:tcBorders>
              <w:right w:val="single" w:sz="8" w:color="auto"/>
            </w:tcBorders>
            <w:vMerge w:val="restart"/>
          </w:tcPr>
          <w:p>
            <w:pPr>
              <w:jc w:val="center"/>
              <w:ind w:right="657"/>
              <w:spacing w:after="0"/>
              <w:rPr>
                <w:sz w:val="20"/>
                <w:szCs w:val="20"/>
                <w:color w:val="auto"/>
              </w:rPr>
            </w:pPr>
            <w:r>
              <w:rPr>
                <w:rFonts w:ascii="Arial" w:cs="Arial" w:eastAsia="Arial" w:hAnsi="Arial"/>
                <w:sz w:val="14"/>
                <w:szCs w:val="14"/>
                <w:b w:val="1"/>
                <w:bCs w:val="1"/>
                <w:color w:val="auto"/>
                <w:w w:val="92"/>
              </w:rPr>
              <w:t>Title of Securities</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41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00" w:type="dxa"/>
            <w:vAlign w:val="bottom"/>
            <w:tcBorders>
              <w:bottom w:val="single" w:sz="8" w:color="auto"/>
            </w:tcBorders>
          </w:tcPr>
          <w:p>
            <w:pPr>
              <w:spacing w:after="0"/>
              <w:rPr>
                <w:sz w:val="16"/>
                <w:szCs w:val="16"/>
                <w:color w:val="auto"/>
              </w:rPr>
            </w:pPr>
          </w:p>
        </w:tc>
        <w:tc>
          <w:tcPr>
            <w:tcW w:w="4180" w:type="dxa"/>
            <w:vAlign w:val="bottom"/>
            <w:tcBorders>
              <w:bottom w:val="single" w:sz="8" w:color="auto"/>
              <w:right w:val="single" w:sz="8" w:color="auto"/>
            </w:tcBorders>
          </w:tcPr>
          <w:p>
            <w:pPr>
              <w:jc w:val="center"/>
              <w:ind w:right="637"/>
              <w:spacing w:after="0"/>
              <w:rPr>
                <w:sz w:val="20"/>
                <w:szCs w:val="20"/>
                <w:color w:val="auto"/>
              </w:rPr>
            </w:pPr>
            <w:r>
              <w:rPr>
                <w:rFonts w:ascii="Arial" w:cs="Arial" w:eastAsia="Arial" w:hAnsi="Arial"/>
                <w:sz w:val="14"/>
                <w:szCs w:val="14"/>
                <w:b w:val="1"/>
                <w:bCs w:val="1"/>
                <w:color w:val="auto"/>
                <w:w w:val="89"/>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r>
              <w:rPr>
                <w:rFonts w:ascii="Arial" w:cs="Arial" w:eastAsia="Arial" w:hAnsi="Arial"/>
                <w:sz w:val="12"/>
                <w:szCs w:val="12"/>
                <w:b w:val="1"/>
                <w:bCs w:val="1"/>
                <w:color w:val="auto"/>
                <w:w w:val="91"/>
              </w:rPr>
              <w:t>(1)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Class A Common Stock, par value $0.0001 per share</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color w:val="auto"/>
              </w:rPr>
              <w:t>– 2021 Equity Incentive Plan</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5,317,600</w:t>
            </w:r>
            <w:r>
              <w:rPr>
                <w:rFonts w:ascii="Arial" w:cs="Arial" w:eastAsia="Arial" w:hAnsi="Arial"/>
                <w:sz w:val="15"/>
                <w:szCs w:val="15"/>
                <w:color w:val="auto"/>
                <w:w w:val="92"/>
              </w:rPr>
              <w:t>(2)(3)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$11.00</w:t>
            </w:r>
            <w:r>
              <w:rPr>
                <w:rFonts w:ascii="Arial" w:cs="Arial" w:eastAsia="Arial" w:hAnsi="Arial"/>
                <w:sz w:val="15"/>
                <w:szCs w:val="15"/>
                <w:color w:val="auto"/>
                <w:w w:val="92"/>
              </w:rPr>
              <w:t>(8)</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$58,493,600</w:t>
            </w:r>
            <w:r>
              <w:rPr>
                <w:rFonts w:ascii="Arial" w:cs="Arial" w:eastAsia="Arial" w:hAnsi="Arial"/>
                <w:sz w:val="15"/>
                <w:szCs w:val="15"/>
                <w:color w:val="auto"/>
                <w:w w:val="91"/>
              </w:rPr>
              <w:t>(8)</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$6,382</w:t>
            </w:r>
          </w:p>
        </w:tc>
        <w:tc>
          <w:tcPr>
            <w:tcW w:w="0" w:type="dxa"/>
            <w:vAlign w:val="bottom"/>
          </w:tcPr>
          <w:p>
            <w:pPr>
              <w:spacing w:after="0"/>
              <w:rPr>
                <w:sz w:val="1"/>
                <w:szCs w:val="1"/>
                <w:color w:val="auto"/>
              </w:rPr>
            </w:pPr>
          </w:p>
        </w:tc>
      </w:tr>
      <w:tr>
        <w:trPr>
          <w:trHeight w:val="210"/>
        </w:trPr>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0"/>
              </w:rPr>
              <w:t>– 2021</w:t>
            </w:r>
          </w:p>
        </w:tc>
        <w:tc>
          <w:tcPr>
            <w:tcW w:w="4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Equity Incentive Plan</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182,400</w:t>
            </w:r>
            <w:r>
              <w:rPr>
                <w:rFonts w:ascii="Arial" w:cs="Arial" w:eastAsia="Arial" w:hAnsi="Arial"/>
                <w:sz w:val="15"/>
                <w:szCs w:val="15"/>
                <w:color w:val="auto"/>
                <w:w w:val="91"/>
              </w:rPr>
              <w:t>(4)</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$11.00</w:t>
            </w:r>
            <w:r>
              <w:rPr>
                <w:rFonts w:ascii="Arial" w:cs="Arial" w:eastAsia="Arial" w:hAnsi="Arial"/>
                <w:sz w:val="15"/>
                <w:szCs w:val="15"/>
                <w:color w:val="auto"/>
                <w:w w:val="92"/>
              </w:rPr>
              <w:t>(8)</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$2,006,400</w:t>
            </w:r>
            <w:r>
              <w:rPr>
                <w:rFonts w:ascii="Arial" w:cs="Arial" w:eastAsia="Arial" w:hAnsi="Arial"/>
                <w:sz w:val="15"/>
                <w:szCs w:val="15"/>
                <w:color w:val="auto"/>
                <w:w w:val="92"/>
              </w:rPr>
              <w:t>(8)</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$219</w:t>
            </w:r>
          </w:p>
        </w:tc>
        <w:tc>
          <w:tcPr>
            <w:tcW w:w="0" w:type="dxa"/>
            <w:vAlign w:val="bottom"/>
          </w:tcPr>
          <w:p>
            <w:pPr>
              <w:spacing w:after="0"/>
              <w:rPr>
                <w:sz w:val="1"/>
                <w:szCs w:val="1"/>
                <w:color w:val="auto"/>
              </w:rPr>
            </w:pPr>
          </w:p>
        </w:tc>
      </w:tr>
      <w:tr>
        <w:trPr>
          <w:trHeight w:val="209"/>
        </w:trPr>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0"/>
              </w:rPr>
              <w:t>– 2021</w:t>
            </w:r>
          </w:p>
        </w:tc>
        <w:tc>
          <w:tcPr>
            <w:tcW w:w="4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Employee Stock Purchase Plan</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500,000</w:t>
            </w:r>
            <w:r>
              <w:rPr>
                <w:rFonts w:ascii="Arial" w:cs="Arial" w:eastAsia="Arial" w:hAnsi="Arial"/>
                <w:sz w:val="15"/>
                <w:szCs w:val="15"/>
                <w:color w:val="auto"/>
                <w:w w:val="94"/>
              </w:rPr>
              <w:t>(5)(6)</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$9.35</w:t>
            </w:r>
            <w:r>
              <w:rPr>
                <w:rFonts w:ascii="Arial" w:cs="Arial" w:eastAsia="Arial" w:hAnsi="Arial"/>
                <w:sz w:val="15"/>
                <w:szCs w:val="15"/>
                <w:color w:val="auto"/>
                <w:w w:val="94"/>
              </w:rPr>
              <w:t>(9)</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$4,675,000</w:t>
            </w:r>
            <w:r>
              <w:rPr>
                <w:rFonts w:ascii="Arial" w:cs="Arial" w:eastAsia="Arial" w:hAnsi="Arial"/>
                <w:sz w:val="15"/>
                <w:szCs w:val="15"/>
                <w:color w:val="auto"/>
                <w:w w:val="92"/>
              </w:rPr>
              <w:t>(9)</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$511</w:t>
            </w:r>
          </w:p>
        </w:tc>
        <w:tc>
          <w:tcPr>
            <w:tcW w:w="0" w:type="dxa"/>
            <w:vAlign w:val="bottom"/>
          </w:tcPr>
          <w:p>
            <w:pPr>
              <w:spacing w:after="0"/>
              <w:rPr>
                <w:sz w:val="1"/>
                <w:szCs w:val="1"/>
                <w:color w:val="auto"/>
              </w:rPr>
            </w:pPr>
          </w:p>
        </w:tc>
      </w:tr>
      <w:tr>
        <w:trPr>
          <w:trHeight w:val="209"/>
        </w:trPr>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0"/>
              </w:rPr>
              <w:t>– 2016</w:t>
            </w:r>
          </w:p>
        </w:tc>
        <w:tc>
          <w:tcPr>
            <w:tcW w:w="4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Equity Incentive Plan</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1,210,981</w:t>
            </w:r>
            <w:r>
              <w:rPr>
                <w:rFonts w:ascii="Arial" w:cs="Arial" w:eastAsia="Arial" w:hAnsi="Arial"/>
                <w:sz w:val="15"/>
                <w:szCs w:val="15"/>
                <w:color w:val="auto"/>
                <w:w w:val="89"/>
              </w:rPr>
              <w:t>(7)</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$9.45</w:t>
            </w:r>
            <w:r>
              <w:rPr>
                <w:rFonts w:ascii="Arial" w:cs="Arial" w:eastAsia="Arial" w:hAnsi="Arial"/>
                <w:sz w:val="15"/>
                <w:szCs w:val="15"/>
                <w:color w:val="auto"/>
                <w:w w:val="91"/>
              </w:rPr>
              <w:t>(10)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$11,443,771</w:t>
            </w:r>
            <w:r>
              <w:rPr>
                <w:rFonts w:ascii="Arial" w:cs="Arial" w:eastAsia="Arial" w:hAnsi="Arial"/>
                <w:sz w:val="15"/>
                <w:szCs w:val="15"/>
                <w:color w:val="auto"/>
                <w:w w:val="91"/>
              </w:rPr>
              <w:t>(10)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$1,249</w:t>
            </w:r>
          </w:p>
        </w:tc>
        <w:tc>
          <w:tcPr>
            <w:tcW w:w="0" w:type="dxa"/>
            <w:vAlign w:val="bottom"/>
          </w:tcPr>
          <w:p>
            <w:pPr>
              <w:spacing w:after="0"/>
              <w:rPr>
                <w:sz w:val="1"/>
                <w:szCs w:val="1"/>
                <w:color w:val="auto"/>
              </w:rPr>
            </w:pPr>
          </w:p>
        </w:tc>
      </w:tr>
      <w:tr>
        <w:trPr>
          <w:trHeight w:val="210"/>
        </w:trPr>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418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7,210,981</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$76,618,771</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$8,361</w:t>
            </w:r>
          </w:p>
        </w:tc>
        <w:tc>
          <w:tcPr>
            <w:tcW w:w="0" w:type="dxa"/>
            <w:vAlign w:val="bottom"/>
          </w:tcPr>
          <w:p>
            <w:pPr>
              <w:spacing w:after="0"/>
              <w:rPr>
                <w:sz w:val="1"/>
                <w:szCs w:val="1"/>
                <w:color w:val="auto"/>
              </w:rPr>
            </w:pP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24" w:right="240" w:hanging="424"/>
        <w:spacing w:after="0" w:line="26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416(a) promulgated under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this Registration Statement shall also cover any additional shares of Registrant’s Class A common stock that become issuable under the Registrant’s 2021 Equity Incentive Plan (the “</w:t>
      </w:r>
      <w:r>
        <w:rPr>
          <w:rFonts w:ascii="Arial" w:cs="Arial" w:eastAsia="Arial" w:hAnsi="Arial"/>
          <w:sz w:val="17"/>
          <w:szCs w:val="17"/>
          <w:b w:val="1"/>
          <w:bCs w:val="1"/>
          <w:i w:val="1"/>
          <w:iCs w:val="1"/>
          <w:color w:val="auto"/>
        </w:rPr>
        <w:t>2021 Plan</w:t>
      </w:r>
      <w:r>
        <w:rPr>
          <w:rFonts w:ascii="Arial" w:cs="Arial" w:eastAsia="Arial" w:hAnsi="Arial"/>
          <w:sz w:val="17"/>
          <w:szCs w:val="17"/>
          <w:color w:val="auto"/>
        </w:rPr>
        <w:t>”), the Registrant’s 2021 Employee Stock Purchase Plan (the “</w:t>
      </w:r>
      <w:r>
        <w:rPr>
          <w:rFonts w:ascii="Arial" w:cs="Arial" w:eastAsia="Arial" w:hAnsi="Arial"/>
          <w:sz w:val="17"/>
          <w:szCs w:val="17"/>
          <w:b w:val="1"/>
          <w:bCs w:val="1"/>
          <w:i w:val="1"/>
          <w:iCs w:val="1"/>
          <w:color w:val="auto"/>
        </w:rPr>
        <w:t>2021 ESPP</w:t>
      </w:r>
      <w:r>
        <w:rPr>
          <w:rFonts w:ascii="Arial" w:cs="Arial" w:eastAsia="Arial" w:hAnsi="Arial"/>
          <w:sz w:val="17"/>
          <w:szCs w:val="17"/>
          <w:color w:val="auto"/>
        </w:rPr>
        <w:t>”) and the Registrant’s 2016 Equity Incentive Plan, as amended (the “</w:t>
      </w:r>
      <w:r>
        <w:rPr>
          <w:rFonts w:ascii="Arial" w:cs="Arial" w:eastAsia="Arial" w:hAnsi="Arial"/>
          <w:sz w:val="17"/>
          <w:szCs w:val="17"/>
          <w:b w:val="1"/>
          <w:bCs w:val="1"/>
          <w:i w:val="1"/>
          <w:iCs w:val="1"/>
          <w:color w:val="auto"/>
        </w:rPr>
        <w:t>2016 Plan</w:t>
      </w:r>
      <w:r>
        <w:rPr>
          <w:rFonts w:ascii="Arial" w:cs="Arial" w:eastAsia="Arial" w:hAnsi="Arial"/>
          <w:sz w:val="17"/>
          <w:szCs w:val="17"/>
          <w:color w:val="auto"/>
        </w:rPr>
        <w:t>”) by reason of any stock dividend, stock split, recapitalization, or other similar transaction effected that results in an increase to the number of outstanding shares of Registrant’s Class A common stock, as applicable.</w:t>
      </w:r>
    </w:p>
    <w:p>
      <w:pPr>
        <w:spacing w:after="0" w:line="2" w:lineRule="exact"/>
        <w:rPr>
          <w:rFonts w:ascii="Arial" w:cs="Arial" w:eastAsia="Arial" w:hAnsi="Arial"/>
          <w:sz w:val="17"/>
          <w:szCs w:val="17"/>
          <w:color w:val="auto"/>
        </w:rPr>
      </w:pPr>
    </w:p>
    <w:p>
      <w:pPr>
        <w:ind w:left="424" w:right="18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Class A common stock reserved for future issuance pursuant to stock options, restricted stock unit awards and other awards under the 2021 Plan.</w:t>
      </w:r>
    </w:p>
    <w:p>
      <w:pPr>
        <w:ind w:left="424" w:right="120" w:hanging="424"/>
        <w:spacing w:after="0" w:line="281"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number of shares reserved for issuance under the 2021 Plan will automatically increase on January 1 each year for a period of ten years commencing on January 1, 2022 and ending on (and including) January 1, 2031, in an amount equal to five percent (5%) of the total number of shares of the Registrant’s Class A common stock, Class B common stock and Class C common stock (collectively, “</w:t>
      </w:r>
      <w:r>
        <w:rPr>
          <w:rFonts w:ascii="Arial" w:cs="Arial" w:eastAsia="Arial" w:hAnsi="Arial"/>
          <w:sz w:val="16"/>
          <w:szCs w:val="16"/>
          <w:b w:val="1"/>
          <w:bCs w:val="1"/>
          <w:i w:val="1"/>
          <w:iCs w:val="1"/>
          <w:color w:val="auto"/>
        </w:rPr>
        <w:t>Combined Common Stock</w:t>
      </w:r>
      <w:r>
        <w:rPr>
          <w:rFonts w:ascii="Arial" w:cs="Arial" w:eastAsia="Arial" w:hAnsi="Arial"/>
          <w:sz w:val="16"/>
          <w:szCs w:val="16"/>
          <w:color w:val="auto"/>
        </w:rPr>
        <w:t>”) outstanding on December 31st of the preceding calendar year; provided, however, that the Board of Directors of the Company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may act prior to January 1st of a given year to provide that the increase for such year will be a lesser number of shares of Class A common stock.</w:t>
      </w:r>
    </w:p>
    <w:p>
      <w:pPr>
        <w:spacing w:after="0" w:line="2" w:lineRule="exact"/>
        <w:rPr>
          <w:rFonts w:ascii="Arial" w:cs="Arial" w:eastAsia="Arial" w:hAnsi="Arial"/>
          <w:sz w:val="16"/>
          <w:szCs w:val="16"/>
          <w:color w:val="auto"/>
        </w:rPr>
      </w:pPr>
    </w:p>
    <w:p>
      <w:pPr>
        <w:ind w:left="424" w:right="42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Class A common stock reserved for issuance upon the exercise of outstanding options granted under the 2021 Plan at an exercise price of $11.00 per share.</w:t>
      </w: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Class A common stock reserved for future issuance under the 2021 ESPP.</w:t>
      </w:r>
    </w:p>
    <w:p>
      <w:pPr>
        <w:spacing w:after="0" w:line="9" w:lineRule="exact"/>
        <w:rPr>
          <w:rFonts w:ascii="Arial" w:cs="Arial" w:eastAsia="Arial" w:hAnsi="Arial"/>
          <w:sz w:val="18"/>
          <w:szCs w:val="18"/>
          <w:color w:val="auto"/>
        </w:rPr>
      </w:pPr>
    </w:p>
    <w:p>
      <w:pPr>
        <w:ind w:left="424" w:right="80" w:hanging="424"/>
        <w:spacing w:after="0" w:line="281"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number of shares reserved for issuance under the 2021 ESPP will automatically increase on January 1st each year for a period of up to ten years, commencing on January 1, 2022 and ending on (and including) January 1, 2031, in an amount equal to the lesser of (x) one percent (1%) of the total number of shares of Combined Common Stock outstanding on December 31st of the preceding calendar year and (y) 100,000 shares of Class A common stock. Notwithstanding the foregoing, the Board may act prior to the first day of any calendar year to provide that there will be no January 1st increase in the share reserve for such calendar year or that the increase in the share reserve for such calendar year will be a lesser number of shares of Class A common stock than would otherwise occur pursuant to the preceding sentence.</w:t>
      </w:r>
    </w:p>
    <w:p>
      <w:pPr>
        <w:spacing w:after="0" w:line="3" w:lineRule="exact"/>
        <w:rPr>
          <w:rFonts w:ascii="Arial" w:cs="Arial" w:eastAsia="Arial" w:hAnsi="Arial"/>
          <w:sz w:val="16"/>
          <w:szCs w:val="16"/>
          <w:color w:val="auto"/>
        </w:rPr>
      </w:pPr>
    </w:p>
    <w:p>
      <w:pPr>
        <w:ind w:left="424" w:right="68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Class A common stock issuable upon exercise of stock options outstanding under the 2016 Plan as of the date of this Registration Statement.</w:t>
      </w:r>
    </w:p>
    <w:p>
      <w:pPr>
        <w:ind w:left="424" w:right="10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pursuant to Rule 457(h) of the Securities Act solely for the purpose of calculating the registration fee. The proposed maximum offering price per share and proposed maximum aggregate offering price are calculated using the initial public offering price per share of the Registrant’s Class A common stock as set forth in the Registrant’s prospectus filed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on August 2, 2021 pursuant to Rule 424(b) under the Securities Act.</w:t>
      </w:r>
    </w:p>
    <w:p>
      <w:pPr>
        <w:spacing w:after="0" w:line="1" w:lineRule="exact"/>
        <w:rPr>
          <w:rFonts w:ascii="Arial" w:cs="Arial" w:eastAsia="Arial" w:hAnsi="Arial"/>
          <w:sz w:val="18"/>
          <w:szCs w:val="18"/>
          <w:color w:val="auto"/>
        </w:rPr>
      </w:pPr>
    </w:p>
    <w:p>
      <w:pPr>
        <w:ind w:left="424" w:right="100" w:hanging="424"/>
        <w:spacing w:after="0" w:line="281"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pursuant to Rule 457(h) of the Securities Act solely for the purpose of calculating the registration fee. The proposed maximum offering price per share and proposed maximum aggregate offering price are calculated using the initial public offering price per share of the Registrant’s Class A common stock as set forth in the Registrant’s prospectus filed with Commission on August 2, 2021 pursuant to Rule 424(b) under the Securities Act, multiplied by 85%, which is the percentage of the price per share applicable to purchases under the 2021 ESPP.</w:t>
      </w:r>
    </w:p>
    <w:p>
      <w:pPr>
        <w:spacing w:after="0" w:line="2" w:lineRule="exact"/>
        <w:rPr>
          <w:rFonts w:ascii="Arial" w:cs="Arial" w:eastAsia="Arial" w:hAnsi="Arial"/>
          <w:sz w:val="16"/>
          <w:szCs w:val="16"/>
          <w:color w:val="auto"/>
        </w:rPr>
      </w:pPr>
    </w:p>
    <w:p>
      <w:pPr>
        <w:ind w:left="424" w:right="100" w:hanging="424"/>
        <w:spacing w:after="0" w:line="323"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pursuant to Rule 457(h) of the Securities Act solely for the purpose of calculating the registration fee. The proposed maximum offering price per share and proposed maximum aggregate offering price are calculated using a weighted-average exercise price for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148590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120"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information called for by Part I of Form S-8 is omitted from this Registration Statement in accordance with Rule 428 of the Securities Act and the instructions to Form S-8. In accordance with the rules and regulations of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and the instructions to Form S-8, such documents are not being filed with the Commission either as part of this Registration Statement or as prospectuses or prospectus supplements pursuant to Rule 424.</w:t>
      </w:r>
    </w:p>
    <w:p>
      <w:pPr>
        <w:sectPr>
          <w:pgSz w:w="11900" w:h="16838" w:orient="portrait"/>
          <w:cols w:equalWidth="0" w:num="1">
            <w:col w:w="11000"/>
          </w:cols>
          <w:pgMar w:left="440" w:top="270" w:right="4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II</w:t>
      </w:r>
    </w:p>
    <w:p>
      <w:pPr>
        <w:spacing w:after="0" w:line="25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Certain Documents by Reference.</w:t>
      </w:r>
    </w:p>
    <w:p>
      <w:pPr>
        <w:spacing w:after="0" w:line="121"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The following documents filed by Rani Therapeutics Holdings, Inc. (the “</w:t>
      </w:r>
      <w:r>
        <w:rPr>
          <w:rFonts w:ascii="Arial" w:cs="Arial" w:eastAsia="Arial" w:hAnsi="Arial"/>
          <w:sz w:val="18"/>
          <w:szCs w:val="18"/>
          <w:b w:val="1"/>
          <w:bCs w:val="1"/>
          <w:i w:val="1"/>
          <w:iCs w:val="1"/>
          <w:color w:val="auto"/>
        </w:rPr>
        <w:t>Registrant”) with the Commission are incorporated by reference into</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this Registration Statement:</w:t>
      </w:r>
    </w:p>
    <w:p>
      <w:pPr>
        <w:spacing w:after="0" w:line="170" w:lineRule="exact"/>
        <w:rPr>
          <w:sz w:val="20"/>
          <w:szCs w:val="20"/>
          <w:color w:val="auto"/>
        </w:rPr>
      </w:pPr>
    </w:p>
    <w:p>
      <w:pPr>
        <w:ind w:right="340" w:firstLine="436"/>
        <w:spacing w:after="0" w:line="277" w:lineRule="auto"/>
        <w:tabs>
          <w:tab w:leader="none" w:pos="69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Prospectus filed with the Commission on </w:t>
      </w:r>
      <w:hyperlink r:id="rId22">
        <w:r>
          <w:rPr>
            <w:rFonts w:ascii="Arial" w:cs="Arial" w:eastAsia="Arial" w:hAnsi="Arial"/>
            <w:sz w:val="18"/>
            <w:szCs w:val="18"/>
            <w:u w:val="single" w:color="auto"/>
            <w:color w:val="0000EE"/>
          </w:rPr>
          <w:t>August 2,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pursuant to Rule 424(b) under the Securities Act, relating to the Registration Statement on Form S-1, as amened (File No. 333-257809);</w:t>
      </w:r>
    </w:p>
    <w:p>
      <w:pPr>
        <w:spacing w:after="0" w:line="170" w:lineRule="exact"/>
        <w:rPr>
          <w:rFonts w:ascii="Arial" w:cs="Arial" w:eastAsia="Arial" w:hAnsi="Arial"/>
          <w:sz w:val="18"/>
          <w:szCs w:val="18"/>
          <w:color w:val="auto"/>
        </w:rPr>
      </w:pPr>
    </w:p>
    <w:p>
      <w:pPr>
        <w:ind w:right="320" w:firstLine="436"/>
        <w:spacing w:after="0" w:line="263" w:lineRule="auto"/>
        <w:tabs>
          <w:tab w:leader="none" w:pos="70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description of the Registrant’s Class A common stock which is contained in a registration statement on Form 8-A filed with the Commission on </w:t>
      </w:r>
      <w:hyperlink r:id="rId23">
        <w:r>
          <w:rPr>
            <w:rFonts w:ascii="Arial" w:cs="Arial" w:eastAsia="Arial" w:hAnsi="Arial"/>
            <w:sz w:val="18"/>
            <w:szCs w:val="18"/>
            <w:u w:val="single" w:color="auto"/>
            <w:color w:val="0000EE"/>
          </w:rPr>
          <w:t>July 26,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001-40672) under Section 12(b) of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including any amendment or report filed for the purpose of updating such description; and</w:t>
      </w:r>
    </w:p>
    <w:p>
      <w:pPr>
        <w:spacing w:after="0" w:line="183" w:lineRule="exact"/>
        <w:rPr>
          <w:rFonts w:ascii="Arial" w:cs="Arial" w:eastAsia="Arial" w:hAnsi="Arial"/>
          <w:sz w:val="18"/>
          <w:szCs w:val="18"/>
          <w:color w:val="auto"/>
        </w:rPr>
      </w:pPr>
    </w:p>
    <w:p>
      <w:pPr>
        <w:ind w:right="60" w:firstLine="436"/>
        <w:spacing w:after="0" w:line="270" w:lineRule="auto"/>
        <w:tabs>
          <w:tab w:leader="none" w:pos="685"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All other reports and documents subsequently filed with the Commission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325" w:lineRule="exact"/>
        <w:rPr>
          <w:rFonts w:ascii="Arial" w:cs="Arial" w:eastAsia="Arial" w:hAnsi="Arial"/>
          <w:sz w:val="18"/>
          <w:szCs w:val="18"/>
          <w:b w:val="1"/>
          <w:bCs w:val="1"/>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Description of Securities.</w:t>
      </w:r>
    </w:p>
    <w:p>
      <w:pPr>
        <w:spacing w:after="0" w:line="121" w:lineRule="exact"/>
        <w:rPr>
          <w:rFonts w:ascii="Arial" w:cs="Arial" w:eastAsia="Arial" w:hAnsi="Arial"/>
          <w:sz w:val="18"/>
          <w:szCs w:val="18"/>
          <w:b w:val="1"/>
          <w:bCs w:val="1"/>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rFonts w:ascii="Arial" w:cs="Arial" w:eastAsia="Arial" w:hAnsi="Arial"/>
          <w:sz w:val="18"/>
          <w:szCs w:val="18"/>
          <w:b w:val="1"/>
          <w:bCs w:val="1"/>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121" w:lineRule="exact"/>
        <w:rPr>
          <w:rFonts w:ascii="Arial" w:cs="Arial" w:eastAsia="Arial" w:hAnsi="Arial"/>
          <w:sz w:val="18"/>
          <w:szCs w:val="18"/>
          <w:b w:val="1"/>
          <w:bCs w:val="1"/>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rFonts w:ascii="Arial" w:cs="Arial" w:eastAsia="Arial" w:hAnsi="Arial"/>
          <w:sz w:val="18"/>
          <w:szCs w:val="18"/>
          <w:b w:val="1"/>
          <w:bCs w:val="1"/>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rFonts w:ascii="Arial" w:cs="Arial" w:eastAsia="Arial" w:hAnsi="Arial"/>
          <w:sz w:val="18"/>
          <w:szCs w:val="18"/>
          <w:b w:val="1"/>
          <w:bCs w:val="1"/>
          <w:color w:val="auto"/>
        </w:rPr>
      </w:pPr>
    </w:p>
    <w:p>
      <w:pPr>
        <w:ind w:right="80" w:firstLine="440"/>
        <w:spacing w:after="0" w:line="293" w:lineRule="auto"/>
        <w:rPr>
          <w:sz w:val="20"/>
          <w:szCs w:val="20"/>
          <w:color w:val="auto"/>
        </w:rPr>
      </w:pPr>
      <w:r>
        <w:rPr>
          <w:rFonts w:ascii="Arial" w:cs="Arial" w:eastAsia="Arial" w:hAnsi="Arial"/>
          <w:sz w:val="16"/>
          <w:szCs w:val="16"/>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The Registrant’s amended and restated certificate of incorporation permits indemnification of the Registrant’s directors, officers, employees and other agents to the maximum extent permitted by the Delaware General Corporation Law, and the Registrant’s amended and restated bylaws provide that the Registrant will indemnify its directors and officers and permit the Registrant to indemnify its employees and other agents, in each case to the maximum extent permitted by the Delaware General Corporation Law.</w:t>
      </w:r>
    </w:p>
    <w:p>
      <w:pPr>
        <w:spacing w:after="0" w:line="164" w:lineRule="exact"/>
        <w:rPr>
          <w:rFonts w:ascii="Arial" w:cs="Arial" w:eastAsia="Arial" w:hAnsi="Arial"/>
          <w:sz w:val="18"/>
          <w:szCs w:val="18"/>
          <w:b w:val="1"/>
          <w:bCs w:val="1"/>
          <w:color w:val="auto"/>
        </w:rPr>
      </w:pPr>
    </w:p>
    <w:p>
      <w:pPr>
        <w:ind w:firstLine="440"/>
        <w:spacing w:after="0" w:line="272" w:lineRule="auto"/>
        <w:rPr>
          <w:sz w:val="20"/>
          <w:szCs w:val="20"/>
          <w:color w:val="auto"/>
        </w:rPr>
      </w:pPr>
      <w:r>
        <w:rPr>
          <w:rFonts w:ascii="Arial" w:cs="Arial" w:eastAsia="Arial" w:hAnsi="Arial"/>
          <w:sz w:val="17"/>
          <w:szCs w:val="17"/>
          <w:color w:val="auto"/>
        </w:rPr>
        <w:t>The Registrant has entered into indemnification agreements with its directors and executive officers, whereby it has agreed to indemnify its directors and executive officers to the fullest extent permitted by law, including indemnification against expenses and liabilities incurred in legal proceedings to which the director or executive officer was, or is threatened to be made, a party by reason of the fact that such director or executive officer is or was a director, executive officer, employee or agent of the Registrant, provided that such director or executive officer acted in good faith and in a manner that the director or executive officer reasonably believed to be in, or not opposed to, the best interest of the Registrant. At present, there is no pending litigation or proceeding involving any of the directors or executive officers of the Registrant regarding which indemnification is sought, nor is the Registrant aware of any threatened litigation that may result in claims for indemnification.</w:t>
      </w:r>
    </w:p>
    <w:p>
      <w:pPr>
        <w:sectPr>
          <w:pgSz w:w="11900" w:h="16838" w:orient="portrait"/>
          <w:cols w:equalWidth="0" w:num="1">
            <w:col w:w="11000"/>
          </w:cols>
          <w:pgMar w:left="440" w:top="270" w:right="459" w:bottom="1440" w:gutter="0" w:footer="0" w:header="0"/>
        </w:sectPr>
      </w:pPr>
    </w:p>
    <w:bookmarkStart w:id="4" w:name="page5"/>
    <w:bookmarkEnd w:id="4"/>
    <w:p>
      <w:pPr>
        <w:ind w:left="4" w:right="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Registrant maintains insurance policies that indemnify its directors and officers against various liabilities arising under the Securities Act and the Exchange Act that might be incurred by any director or officer in his or her capacity as such.</w:t>
      </w:r>
    </w:p>
    <w:p>
      <w:pPr>
        <w:spacing w:after="0" w:line="315"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5740" w:type="dxa"/>
            <w:vAlign w:val="bottom"/>
            <w:gridSpan w:val="17"/>
          </w:tcPr>
          <w:p>
            <w:pPr>
              <w:ind w:left="240"/>
              <w:spacing w:after="0"/>
              <w:rPr>
                <w:sz w:val="20"/>
                <w:szCs w:val="20"/>
                <w:color w:val="auto"/>
              </w:rPr>
            </w:pPr>
            <w:r>
              <w:rPr>
                <w:rFonts w:ascii="Arial" w:cs="Arial" w:eastAsia="Arial" w:hAnsi="Arial"/>
                <w:sz w:val="18"/>
                <w:szCs w:val="18"/>
                <w:b w:val="1"/>
                <w:bCs w:val="1"/>
                <w:color w:val="auto"/>
              </w:rPr>
              <w:t>Exhibits.</w:t>
            </w: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80" w:type="dxa"/>
            <w:vAlign w:val="bottom"/>
            <w:gridSpan w:val="6"/>
          </w:tcPr>
          <w:p>
            <w:pPr>
              <w:spacing w:after="0"/>
              <w:rPr>
                <w:sz w:val="20"/>
                <w:szCs w:val="20"/>
                <w:color w:val="auto"/>
              </w:rPr>
            </w:pPr>
            <w:r>
              <w:rPr>
                <w:rFonts w:ascii="Arial" w:cs="Arial" w:eastAsia="Arial" w:hAnsi="Arial"/>
                <w:sz w:val="14"/>
                <w:szCs w:val="14"/>
                <w:b w:val="1"/>
                <w:bCs w:val="1"/>
                <w:color w:val="auto"/>
              </w:rPr>
              <w:t>Incorporated by Reference</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84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20" w:type="dxa"/>
            <w:vAlign w:val="bottom"/>
            <w:tcBorders>
              <w:top w:val="single" w:sz="8" w:color="auto"/>
            </w:tcBorders>
            <w:gridSpan w:val="5"/>
          </w:tcPr>
          <w:p>
            <w:pPr>
              <w:jc w:val="center"/>
              <w:ind w:right="1480"/>
              <w:spacing w:after="0" w:line="119" w:lineRule="exact"/>
              <w:rPr>
                <w:sz w:val="20"/>
                <w:szCs w:val="20"/>
                <w:color w:val="auto"/>
              </w:rPr>
            </w:pPr>
            <w:r>
              <w:rPr>
                <w:rFonts w:ascii="Arial" w:cs="Arial" w:eastAsia="Arial" w:hAnsi="Arial"/>
                <w:sz w:val="13"/>
                <w:szCs w:val="13"/>
                <w:b w:val="1"/>
                <w:bCs w:val="1"/>
                <w:color w:val="auto"/>
                <w:w w:val="93"/>
              </w:rPr>
              <w:t>Schedule</w:t>
            </w: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740" w:type="dxa"/>
            <w:vAlign w:val="bottom"/>
            <w:gridSpan w:val="10"/>
          </w:tcPr>
          <w:p>
            <w:pPr>
              <w:ind w:left="460"/>
              <w:spacing w:after="0"/>
              <w:rPr>
                <w:sz w:val="20"/>
                <w:szCs w:val="20"/>
                <w:color w:val="auto"/>
              </w:rPr>
            </w:pPr>
            <w:r>
              <w:rPr>
                <w:rFonts w:ascii="Arial" w:cs="Arial" w:eastAsia="Arial" w:hAnsi="Arial"/>
                <w:sz w:val="14"/>
                <w:szCs w:val="14"/>
                <w:b w:val="1"/>
                <w:bCs w:val="1"/>
                <w:color w:val="auto"/>
              </w:rPr>
              <w:t>Description</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7"/>
              </w:rPr>
              <w:t>Form</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File Number</w:t>
            </w: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Exhibit</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7"/>
              </w:rPr>
              <w:t>Filing Date</w:t>
            </w:r>
          </w:p>
        </w:tc>
        <w:tc>
          <w:tcPr>
            <w:tcW w:w="0" w:type="dxa"/>
            <w:vAlign w:val="bottom"/>
          </w:tcPr>
          <w:p>
            <w:pPr>
              <w:spacing w:after="0"/>
              <w:rPr>
                <w:sz w:val="1"/>
                <w:szCs w:val="1"/>
                <w:color w:val="auto"/>
              </w:rPr>
            </w:pPr>
          </w:p>
        </w:tc>
      </w:tr>
      <w:tr>
        <w:trPr>
          <w:trHeight w:val="270"/>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3"/>
                <w:szCs w:val="23"/>
                <w:color w:val="auto"/>
              </w:rPr>
            </w:pPr>
          </w:p>
        </w:tc>
        <w:tc>
          <w:tcPr>
            <w:tcW w:w="5620" w:type="dxa"/>
            <w:vAlign w:val="bottom"/>
            <w:tcBorders>
              <w:top w:val="single" w:sz="8" w:color="auto"/>
            </w:tcBorders>
            <w:gridSpan w:val="16"/>
          </w:tcPr>
          <w:p>
            <w:pPr>
              <w:spacing w:after="0"/>
              <w:rPr>
                <w:rFonts w:ascii="Arial" w:cs="Arial" w:eastAsia="Arial" w:hAnsi="Arial"/>
                <w:sz w:val="18"/>
                <w:szCs w:val="18"/>
                <w:color w:val="0000EE"/>
                <w:w w:val="98"/>
              </w:rPr>
            </w:pPr>
            <w:hyperlink r:id="rId25">
              <w:r>
                <w:rPr>
                  <w:rFonts w:ascii="Arial" w:cs="Arial" w:eastAsia="Arial" w:hAnsi="Arial"/>
                  <w:sz w:val="18"/>
                  <w:szCs w:val="18"/>
                  <w:color w:val="0000EE"/>
                  <w:w w:val="98"/>
                </w:rPr>
                <w:t>Amended and Restated Certificate of Incorporation of the Registrant, as</w:t>
              </w:r>
            </w:hyperlink>
          </w:p>
        </w:tc>
        <w:tc>
          <w:tcPr>
            <w:tcW w:w="120" w:type="dxa"/>
            <w:vAlign w:val="bottom"/>
          </w:tcPr>
          <w:p>
            <w:pPr>
              <w:spacing w:after="0"/>
              <w:rPr>
                <w:sz w:val="23"/>
                <w:szCs w:val="23"/>
                <w:color w:val="auto"/>
              </w:rPr>
            </w:pPr>
          </w:p>
        </w:tc>
        <w:tc>
          <w:tcPr>
            <w:tcW w:w="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S-1/A</w:t>
            </w:r>
          </w:p>
        </w:tc>
        <w:tc>
          <w:tcPr>
            <w:tcW w:w="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333-257809</w:t>
            </w:r>
          </w:p>
        </w:tc>
        <w:tc>
          <w:tcPr>
            <w:tcW w:w="120" w:type="dxa"/>
            <w:vAlign w:val="bottom"/>
          </w:tcPr>
          <w:p>
            <w:pPr>
              <w:spacing w:after="0"/>
              <w:rPr>
                <w:sz w:val="23"/>
                <w:szCs w:val="23"/>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3"/>
                <w:szCs w:val="23"/>
                <w:color w:val="auto"/>
              </w:rPr>
            </w:pP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July 26, 2021</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25">
              <w:r>
                <w:rPr>
                  <w:rFonts w:ascii="Arial" w:cs="Arial" w:eastAsia="Arial" w:hAnsi="Arial"/>
                  <w:sz w:val="18"/>
                  <w:szCs w:val="18"/>
                  <w:color w:val="0000EE"/>
                  <w:w w:val="92"/>
                </w:rPr>
                <w:t>currently in effect.</w:t>
              </w:r>
            </w:hyperlink>
          </w:p>
        </w:tc>
        <w:tc>
          <w:tcPr>
            <w:tcW w:w="3840" w:type="dxa"/>
            <w:vAlign w:val="bottom"/>
            <w:tcBorders>
              <w:top w:val="single" w:sz="8" w:color="0000EE"/>
            </w:tcBorders>
            <w:gridSpan w:val="10"/>
          </w:tcPr>
          <w:p>
            <w:pPr>
              <w:spacing w:after="0"/>
              <w:rPr>
                <w:sz w:val="17"/>
                <w:szCs w:val="17"/>
                <w:color w:val="auto"/>
              </w:rPr>
            </w:pPr>
          </w:p>
        </w:tc>
        <w:tc>
          <w:tcPr>
            <w:tcW w:w="560" w:type="dxa"/>
            <w:vAlign w:val="bottom"/>
            <w:gridSpan w:val="4"/>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4"/>
                <w:szCs w:val="24"/>
                <w:color w:val="auto"/>
              </w:rPr>
            </w:pPr>
          </w:p>
        </w:tc>
        <w:tc>
          <w:tcPr>
            <w:tcW w:w="5120" w:type="dxa"/>
            <w:vAlign w:val="bottom"/>
            <w:tcBorders>
              <w:bottom w:val="single" w:sz="8" w:color="0000EE"/>
            </w:tcBorders>
            <w:gridSpan w:val="11"/>
          </w:tcPr>
          <w:p>
            <w:pPr>
              <w:spacing w:after="0"/>
              <w:rPr>
                <w:rFonts w:ascii="Arial" w:cs="Arial" w:eastAsia="Arial" w:hAnsi="Arial"/>
                <w:sz w:val="18"/>
                <w:szCs w:val="18"/>
                <w:color w:val="0000EE"/>
                <w:w w:val="90"/>
              </w:rPr>
            </w:pPr>
            <w:hyperlink r:id="rId26">
              <w:r>
                <w:rPr>
                  <w:rFonts w:ascii="Arial" w:cs="Arial" w:eastAsia="Arial" w:hAnsi="Arial"/>
                  <w:sz w:val="18"/>
                  <w:szCs w:val="18"/>
                  <w:color w:val="0000EE"/>
                  <w:w w:val="90"/>
                </w:rPr>
                <w:t>Amended and Restated Bylaws of the Registrant, as currently in effect.</w:t>
              </w:r>
            </w:hyperlink>
          </w:p>
        </w:tc>
        <w:tc>
          <w:tcPr>
            <w:tcW w:w="620" w:type="dxa"/>
            <w:vAlign w:val="bottom"/>
            <w:gridSpan w:val="6"/>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400" w:type="dxa"/>
            <w:vAlign w:val="bottom"/>
            <w:gridSpan w:val="3"/>
          </w:tcPr>
          <w:p>
            <w:pPr>
              <w:jc w:val="center"/>
              <w:ind w:left="73"/>
              <w:spacing w:after="0"/>
              <w:rPr>
                <w:sz w:val="20"/>
                <w:szCs w:val="20"/>
                <w:color w:val="auto"/>
              </w:rPr>
            </w:pPr>
            <w:r>
              <w:rPr>
                <w:rFonts w:ascii="Arial" w:cs="Arial" w:eastAsia="Arial" w:hAnsi="Arial"/>
                <w:sz w:val="18"/>
                <w:szCs w:val="18"/>
                <w:color w:val="auto"/>
                <w:w w:val="91"/>
              </w:rPr>
              <w:t>333-257809</w:t>
            </w:r>
          </w:p>
        </w:tc>
        <w:tc>
          <w:tcPr>
            <w:tcW w:w="12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0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July 9, 2021</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4"/>
                <w:szCs w:val="24"/>
                <w:color w:val="auto"/>
              </w:rPr>
            </w:pPr>
          </w:p>
        </w:tc>
        <w:tc>
          <w:tcPr>
            <w:tcW w:w="5740" w:type="dxa"/>
            <w:vAlign w:val="bottom"/>
            <w:gridSpan w:val="17"/>
          </w:tcPr>
          <w:p>
            <w:pPr>
              <w:spacing w:after="0"/>
              <w:rPr>
                <w:rFonts w:ascii="Arial" w:cs="Arial" w:eastAsia="Arial" w:hAnsi="Arial"/>
                <w:sz w:val="18"/>
                <w:szCs w:val="18"/>
                <w:color w:val="0000EE"/>
              </w:rPr>
            </w:pPr>
            <w:hyperlink r:id="rId27">
              <w:r>
                <w:rPr>
                  <w:rFonts w:ascii="Arial" w:cs="Arial" w:eastAsia="Arial" w:hAnsi="Arial"/>
                  <w:sz w:val="18"/>
                  <w:szCs w:val="18"/>
                  <w:color w:val="0000EE"/>
                </w:rPr>
                <w:t>Specimen Class A common stock certificate of the Registrant.</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400" w:type="dxa"/>
            <w:vAlign w:val="bottom"/>
            <w:gridSpan w:val="3"/>
          </w:tcPr>
          <w:p>
            <w:pPr>
              <w:jc w:val="center"/>
              <w:ind w:left="73"/>
              <w:spacing w:after="0"/>
              <w:rPr>
                <w:sz w:val="20"/>
                <w:szCs w:val="20"/>
                <w:color w:val="auto"/>
              </w:rPr>
            </w:pPr>
            <w:r>
              <w:rPr>
                <w:rFonts w:ascii="Arial" w:cs="Arial" w:eastAsia="Arial" w:hAnsi="Arial"/>
                <w:sz w:val="18"/>
                <w:szCs w:val="18"/>
                <w:color w:val="auto"/>
                <w:w w:val="91"/>
              </w:rPr>
              <w:t>333-257809</w:t>
            </w:r>
          </w:p>
        </w:tc>
        <w:tc>
          <w:tcPr>
            <w:tcW w:w="12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July 26, 2021</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24"/>
                <w:szCs w:val="24"/>
                <w:color w:val="auto"/>
              </w:rPr>
            </w:pPr>
          </w:p>
        </w:tc>
        <w:tc>
          <w:tcPr>
            <w:tcW w:w="4460" w:type="dxa"/>
            <w:vAlign w:val="bottom"/>
            <w:tcBorders>
              <w:top w:val="single" w:sz="8" w:color="0000EE"/>
            </w:tcBorders>
            <w:gridSpan w:val="9"/>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Opinion of Cooley LLP.</w:t>
              </w:r>
            </w:hyperlink>
          </w:p>
        </w:tc>
        <w:tc>
          <w:tcPr>
            <w:tcW w:w="1280" w:type="dxa"/>
            <w:vAlign w:val="bottom"/>
            <w:gridSpan w:val="8"/>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24"/>
                <w:szCs w:val="24"/>
                <w:color w:val="auto"/>
              </w:rPr>
            </w:pPr>
          </w:p>
        </w:tc>
        <w:tc>
          <w:tcPr>
            <w:tcW w:w="358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9">
              <w:r>
                <w:rPr>
                  <w:rFonts w:ascii="Arial" w:cs="Arial" w:eastAsia="Arial" w:hAnsi="Arial"/>
                  <w:sz w:val="18"/>
                  <w:szCs w:val="18"/>
                  <w:color w:val="0000EE"/>
                  <w:w w:val="93"/>
                </w:rPr>
                <w:t>Consent of Cooley LLP (included in Exhibit 5.1).</w:t>
              </w:r>
            </w:hyperlink>
          </w:p>
        </w:tc>
        <w:tc>
          <w:tcPr>
            <w:tcW w:w="2160" w:type="dxa"/>
            <w:vAlign w:val="bottom"/>
            <w:gridSpan w:val="9"/>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340" w:type="dxa"/>
            <w:vAlign w:val="bottom"/>
          </w:tcPr>
          <w:p>
            <w:pPr>
              <w:spacing w:after="0"/>
              <w:rPr>
                <w:sz w:val="24"/>
                <w:szCs w:val="24"/>
                <w:color w:val="auto"/>
              </w:rPr>
            </w:pPr>
          </w:p>
        </w:tc>
        <w:tc>
          <w:tcPr>
            <w:tcW w:w="514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Consent of Independent Registered Public Accounting Firm, as to Rani</w:t>
              </w:r>
            </w:hyperlink>
          </w:p>
        </w:tc>
        <w:tc>
          <w:tcPr>
            <w:tcW w:w="600" w:type="dxa"/>
            <w:vAlign w:val="bottom"/>
            <w:gridSpan w:val="5"/>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740" w:type="dxa"/>
            <w:vAlign w:val="bottom"/>
            <w:gridSpan w:val="17"/>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Therapeutics Holdings, Inc.</w:t>
              </w:r>
            </w:hyperlink>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23.3*</w:t>
            </w:r>
          </w:p>
        </w:tc>
        <w:tc>
          <w:tcPr>
            <w:tcW w:w="340" w:type="dxa"/>
            <w:vAlign w:val="bottom"/>
          </w:tcPr>
          <w:p>
            <w:pPr>
              <w:spacing w:after="0"/>
              <w:rPr>
                <w:sz w:val="24"/>
                <w:szCs w:val="24"/>
                <w:color w:val="auto"/>
              </w:rPr>
            </w:pPr>
          </w:p>
        </w:tc>
        <w:tc>
          <w:tcPr>
            <w:tcW w:w="514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12">
              <w:r>
                <w:rPr>
                  <w:rFonts w:ascii="Arial" w:cs="Arial" w:eastAsia="Arial" w:hAnsi="Arial"/>
                  <w:sz w:val="18"/>
                  <w:szCs w:val="18"/>
                  <w:color w:val="0000EE"/>
                  <w:w w:val="90"/>
                </w:rPr>
                <w:t>Consent of Independent Registered Public Accounting Firm, as to Rani</w:t>
              </w:r>
            </w:hyperlink>
          </w:p>
        </w:tc>
        <w:tc>
          <w:tcPr>
            <w:tcW w:w="600" w:type="dxa"/>
            <w:vAlign w:val="bottom"/>
            <w:gridSpan w:val="5"/>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12">
              <w:r>
                <w:rPr>
                  <w:rFonts w:ascii="Arial" w:cs="Arial" w:eastAsia="Arial" w:hAnsi="Arial"/>
                  <w:sz w:val="18"/>
                  <w:szCs w:val="18"/>
                  <w:color w:val="0000EE"/>
                  <w:w w:val="92"/>
                </w:rPr>
                <w:t>Therapeutics, LLC.</w:t>
              </w:r>
            </w:hyperlink>
          </w:p>
        </w:tc>
        <w:tc>
          <w:tcPr>
            <w:tcW w:w="4320" w:type="dxa"/>
            <w:vAlign w:val="bottom"/>
            <w:gridSpan w:val="13"/>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340" w:type="dxa"/>
            <w:vAlign w:val="bottom"/>
          </w:tcPr>
          <w:p>
            <w:pPr>
              <w:spacing w:after="0"/>
              <w:rPr>
                <w:sz w:val="24"/>
                <w:szCs w:val="24"/>
                <w:color w:val="auto"/>
              </w:rPr>
            </w:pPr>
          </w:p>
        </w:tc>
        <w:tc>
          <w:tcPr>
            <w:tcW w:w="502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8">
              <w:r>
                <w:rPr>
                  <w:rFonts w:ascii="Arial" w:cs="Arial" w:eastAsia="Arial" w:hAnsi="Arial"/>
                  <w:sz w:val="18"/>
                  <w:szCs w:val="18"/>
                  <w:color w:val="0000EE"/>
                  <w:w w:val="91"/>
                </w:rPr>
                <w:t>Power of Attorney (included on the signature page of this registration</w:t>
              </w:r>
            </w:hyperlink>
          </w:p>
        </w:tc>
        <w:tc>
          <w:tcPr>
            <w:tcW w:w="720" w:type="dxa"/>
            <w:vAlign w:val="bottom"/>
            <w:gridSpan w:val="7"/>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740" w:type="dxa"/>
            <w:vAlign w:val="bottom"/>
            <w:gridSpan w:val="17"/>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statement).</w:t>
              </w:r>
            </w:hyperlink>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520" w:type="dxa"/>
            <w:vAlign w:val="bottom"/>
            <w:gridSpan w:val="6"/>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5520" w:type="dxa"/>
            <w:vAlign w:val="bottom"/>
            <w:tcBorders>
              <w:bottom w:val="single" w:sz="8" w:color="0000EE"/>
            </w:tcBorders>
            <w:gridSpan w:val="15"/>
          </w:tcPr>
          <w:p>
            <w:pPr>
              <w:spacing w:after="0"/>
              <w:rPr>
                <w:rFonts w:ascii="Arial" w:cs="Arial" w:eastAsia="Arial" w:hAnsi="Arial"/>
                <w:sz w:val="18"/>
                <w:szCs w:val="18"/>
                <w:color w:val="0000EE"/>
                <w:w w:val="91"/>
              </w:rPr>
            </w:pPr>
            <w:hyperlink r:id="rId28">
              <w:r>
                <w:rPr>
                  <w:rFonts w:ascii="Arial" w:cs="Arial" w:eastAsia="Arial" w:hAnsi="Arial"/>
                  <w:sz w:val="18"/>
                  <w:szCs w:val="18"/>
                  <w:color w:val="0000EE"/>
                  <w:w w:val="91"/>
                </w:rPr>
                <w:t>Rani Therapeutics, LLC 2016 Equity Incentive Plan and forms of agreement</w:t>
              </w:r>
            </w:hyperlink>
          </w:p>
        </w:tc>
        <w:tc>
          <w:tcPr>
            <w:tcW w:w="220" w:type="dxa"/>
            <w:vAlign w:val="bottom"/>
            <w:gridSpan w:val="2"/>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400" w:type="dxa"/>
            <w:vAlign w:val="bottom"/>
            <w:gridSpan w:val="3"/>
          </w:tcPr>
          <w:p>
            <w:pPr>
              <w:jc w:val="center"/>
              <w:ind w:left="73"/>
              <w:spacing w:after="0"/>
              <w:rPr>
                <w:sz w:val="20"/>
                <w:szCs w:val="20"/>
                <w:color w:val="auto"/>
              </w:rPr>
            </w:pPr>
            <w:r>
              <w:rPr>
                <w:rFonts w:ascii="Arial" w:cs="Arial" w:eastAsia="Arial" w:hAnsi="Arial"/>
                <w:sz w:val="18"/>
                <w:szCs w:val="18"/>
                <w:color w:val="auto"/>
                <w:w w:val="91"/>
              </w:rPr>
              <w:t>333-257809</w:t>
            </w:r>
          </w:p>
        </w:tc>
        <w:tc>
          <w:tcPr>
            <w:tcW w:w="12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July 9, 2021</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28">
              <w:r>
                <w:rPr>
                  <w:rFonts w:ascii="Arial" w:cs="Arial" w:eastAsia="Arial" w:hAnsi="Arial"/>
                  <w:sz w:val="18"/>
                  <w:szCs w:val="18"/>
                  <w:color w:val="0000EE"/>
                  <w:w w:val="86"/>
                </w:rPr>
                <w:t>thereunder.</w:t>
              </w:r>
            </w:hyperlink>
          </w:p>
        </w:tc>
        <w:tc>
          <w:tcPr>
            <w:tcW w:w="4920" w:type="dxa"/>
            <w:vAlign w:val="bottom"/>
            <w:gridSpan w:val="15"/>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99.2</w:t>
            </w:r>
          </w:p>
        </w:tc>
        <w:tc>
          <w:tcPr>
            <w:tcW w:w="340" w:type="dxa"/>
            <w:vAlign w:val="bottom"/>
          </w:tcPr>
          <w:p>
            <w:pPr>
              <w:spacing w:after="0"/>
              <w:rPr>
                <w:sz w:val="24"/>
                <w:szCs w:val="24"/>
                <w:color w:val="auto"/>
              </w:rPr>
            </w:pPr>
          </w:p>
        </w:tc>
        <w:tc>
          <w:tcPr>
            <w:tcW w:w="5740" w:type="dxa"/>
            <w:vAlign w:val="bottom"/>
            <w:gridSpan w:val="17"/>
          </w:tcPr>
          <w:p>
            <w:pPr>
              <w:spacing w:after="0"/>
              <w:rPr>
                <w:rFonts w:ascii="Arial" w:cs="Arial" w:eastAsia="Arial" w:hAnsi="Arial"/>
                <w:sz w:val="18"/>
                <w:szCs w:val="18"/>
                <w:color w:val="0000EE"/>
                <w:w w:val="98"/>
              </w:rPr>
            </w:pPr>
            <w:hyperlink r:id="rId29">
              <w:r>
                <w:rPr>
                  <w:rFonts w:ascii="Arial" w:cs="Arial" w:eastAsia="Arial" w:hAnsi="Arial"/>
                  <w:sz w:val="18"/>
                  <w:szCs w:val="18"/>
                  <w:color w:val="0000EE"/>
                  <w:w w:val="98"/>
                </w:rPr>
                <w:t>Rani Therapeutics Holdings, Inc. 2021 Equity Incentive Plan and forms of</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400" w:type="dxa"/>
            <w:vAlign w:val="bottom"/>
            <w:gridSpan w:val="3"/>
          </w:tcPr>
          <w:p>
            <w:pPr>
              <w:jc w:val="center"/>
              <w:ind w:left="73"/>
              <w:spacing w:after="0"/>
              <w:rPr>
                <w:sz w:val="20"/>
                <w:szCs w:val="20"/>
                <w:color w:val="auto"/>
              </w:rPr>
            </w:pPr>
            <w:r>
              <w:rPr>
                <w:rFonts w:ascii="Arial" w:cs="Arial" w:eastAsia="Arial" w:hAnsi="Arial"/>
                <w:sz w:val="18"/>
                <w:szCs w:val="18"/>
                <w:color w:val="auto"/>
                <w:w w:val="91"/>
              </w:rPr>
              <w:t>333-257809</w:t>
            </w:r>
          </w:p>
        </w:tc>
        <w:tc>
          <w:tcPr>
            <w:tcW w:w="12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0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July 26, 2021</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3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29">
              <w:r>
                <w:rPr>
                  <w:rFonts w:ascii="Arial" w:cs="Arial" w:eastAsia="Arial" w:hAnsi="Arial"/>
                  <w:sz w:val="18"/>
                  <w:szCs w:val="18"/>
                  <w:color w:val="0000EE"/>
                </w:rPr>
                <w:t>agreement thereunder.</w:t>
              </w:r>
            </w:hyperlink>
          </w:p>
        </w:tc>
        <w:tc>
          <w:tcPr>
            <w:tcW w:w="380" w:type="dxa"/>
            <w:vAlign w:val="bottom"/>
            <w:gridSpan w:val="3"/>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5"/>
            <w:shd w:val="clear" w:color="auto" w:fill="0000EE"/>
          </w:tcPr>
          <w:p>
            <w:pPr>
              <w:spacing w:after="0" w:line="20" w:lineRule="exact"/>
              <w:rPr>
                <w:sz w:val="1"/>
                <w:szCs w:val="1"/>
                <w:color w:val="auto"/>
              </w:rPr>
            </w:pPr>
          </w:p>
        </w:tc>
        <w:tc>
          <w:tcPr>
            <w:tcW w:w="3520" w:type="dxa"/>
            <w:vAlign w:val="bottom"/>
            <w:gridSpan w:val="6"/>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99.3</w:t>
            </w:r>
          </w:p>
        </w:tc>
        <w:tc>
          <w:tcPr>
            <w:tcW w:w="340" w:type="dxa"/>
            <w:vAlign w:val="bottom"/>
          </w:tcPr>
          <w:p>
            <w:pPr>
              <w:spacing w:after="0"/>
              <w:rPr>
                <w:sz w:val="24"/>
                <w:szCs w:val="24"/>
                <w:color w:val="auto"/>
              </w:rPr>
            </w:pPr>
          </w:p>
        </w:tc>
        <w:tc>
          <w:tcPr>
            <w:tcW w:w="5740" w:type="dxa"/>
            <w:vAlign w:val="bottom"/>
            <w:gridSpan w:val="17"/>
          </w:tcPr>
          <w:p>
            <w:pPr>
              <w:spacing w:after="0"/>
              <w:rPr>
                <w:rFonts w:ascii="Arial" w:cs="Arial" w:eastAsia="Arial" w:hAnsi="Arial"/>
                <w:sz w:val="18"/>
                <w:szCs w:val="18"/>
                <w:color w:val="0000EE"/>
              </w:rPr>
            </w:pPr>
            <w:hyperlink r:id="rId30">
              <w:r>
                <w:rPr>
                  <w:rFonts w:ascii="Arial" w:cs="Arial" w:eastAsia="Arial" w:hAnsi="Arial"/>
                  <w:sz w:val="18"/>
                  <w:szCs w:val="18"/>
                  <w:color w:val="0000EE"/>
                </w:rPr>
                <w:t>Rani Therapeutics Holdings, Inc. 2021 Employee Stock Purchase Plan.</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400" w:type="dxa"/>
            <w:vAlign w:val="bottom"/>
            <w:gridSpan w:val="3"/>
          </w:tcPr>
          <w:p>
            <w:pPr>
              <w:jc w:val="center"/>
              <w:ind w:left="73"/>
              <w:spacing w:after="0"/>
              <w:rPr>
                <w:sz w:val="20"/>
                <w:szCs w:val="20"/>
                <w:color w:val="auto"/>
              </w:rPr>
            </w:pPr>
            <w:r>
              <w:rPr>
                <w:rFonts w:ascii="Arial" w:cs="Arial" w:eastAsia="Arial" w:hAnsi="Arial"/>
                <w:sz w:val="18"/>
                <w:szCs w:val="18"/>
                <w:color w:val="auto"/>
                <w:w w:val="91"/>
              </w:rPr>
              <w:t>333-257809</w:t>
            </w:r>
          </w:p>
        </w:tc>
        <w:tc>
          <w:tcPr>
            <w:tcW w:w="12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0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July 26, 2021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Filed herewith</w:t>
      </w:r>
    </w:p>
    <w:p>
      <w:pPr>
        <w:sectPr>
          <w:pgSz w:w="11900" w:h="16838" w:orient="portrait"/>
          <w:cols w:equalWidth="0" w:num="1">
            <w:col w:w="11024"/>
          </w:cols>
          <w:pgMar w:left="436" w:top="274" w:right="439" w:bottom="1440" w:gutter="0" w:footer="0" w:header="0"/>
        </w:sectPr>
      </w:pPr>
    </w:p>
    <w:bookmarkStart w:id="5" w:name="page6"/>
    <w:bookmarkEnd w:id="5"/>
    <w:p>
      <w:pPr>
        <w:ind w:left="4"/>
        <w:spacing w:after="0"/>
        <w:tabs>
          <w:tab w:leader="none" w:pos="10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9.</w:t>
      </w:r>
      <w:r>
        <w:rPr>
          <w:sz w:val="20"/>
          <w:szCs w:val="20"/>
          <w:color w:val="auto"/>
        </w:rPr>
        <w:tab/>
      </w:r>
      <w:r>
        <w:rPr>
          <w:rFonts w:ascii="Arial" w:cs="Arial" w:eastAsia="Arial" w:hAnsi="Arial"/>
          <w:sz w:val="16"/>
          <w:szCs w:val="16"/>
          <w:b w:val="1"/>
          <w:bCs w:val="1"/>
          <w:color w:val="auto"/>
        </w:rPr>
        <w:t>Undertakings.</w:t>
      </w:r>
    </w:p>
    <w:p>
      <w:pPr>
        <w:spacing w:after="0" w:line="135" w:lineRule="exact"/>
        <w:rPr>
          <w:sz w:val="20"/>
          <w:szCs w:val="20"/>
          <w:color w:val="auto"/>
        </w:rPr>
      </w:pPr>
    </w:p>
    <w:p>
      <w:pPr>
        <w:ind w:left="544" w:hanging="544"/>
        <w:spacing w:after="0"/>
        <w:tabs>
          <w:tab w:leader="none" w:pos="544"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b w:val="1"/>
          <w:bCs w:val="1"/>
          <w:color w:val="auto"/>
        </w:rPr>
      </w:pPr>
    </w:p>
    <w:p>
      <w:pPr>
        <w:ind w:left="704" w:hanging="264"/>
        <w:spacing w:after="0"/>
        <w:tabs>
          <w:tab w:leader="none" w:pos="704" w:val="left"/>
        </w:tabs>
        <w:numPr>
          <w:ilvl w:val="1"/>
          <w:numId w:val="4"/>
        </w:numPr>
        <w:rPr>
          <w:rFonts w:ascii="Arial" w:cs="Arial" w:eastAsia="Arial" w:hAnsi="Arial"/>
          <w:sz w:val="18"/>
          <w:szCs w:val="18"/>
          <w:b w:val="1"/>
          <w:bCs w:val="1"/>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b w:val="1"/>
          <w:bCs w:val="1"/>
          <w:color w:val="auto"/>
        </w:rPr>
      </w:pPr>
    </w:p>
    <w:p>
      <w:pPr>
        <w:ind w:left="1204" w:hanging="213"/>
        <w:spacing w:after="0"/>
        <w:tabs>
          <w:tab w:leader="none" w:pos="1204" w:val="left"/>
        </w:tabs>
        <w:numPr>
          <w:ilvl w:val="2"/>
          <w:numId w:val="4"/>
        </w:numPr>
        <w:rPr>
          <w:rFonts w:ascii="Arial" w:cs="Arial" w:eastAsia="Arial" w:hAnsi="Arial"/>
          <w:sz w:val="18"/>
          <w:szCs w:val="18"/>
          <w:b w:val="1"/>
          <w:bCs w:val="1"/>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b w:val="1"/>
          <w:bCs w:val="1"/>
          <w:color w:val="auto"/>
        </w:rPr>
      </w:pPr>
    </w:p>
    <w:p>
      <w:pPr>
        <w:ind w:left="4" w:firstLine="987"/>
        <w:spacing w:after="0" w:line="293" w:lineRule="auto"/>
        <w:tabs>
          <w:tab w:leader="none" w:pos="1260" w:val="left"/>
        </w:tabs>
        <w:numPr>
          <w:ilvl w:val="2"/>
          <w:numId w:val="4"/>
        </w:numPr>
        <w:rPr>
          <w:rFonts w:ascii="Arial" w:cs="Arial" w:eastAsia="Arial" w:hAnsi="Arial"/>
          <w:sz w:val="16"/>
          <w:szCs w:val="16"/>
          <w:b w:val="1"/>
          <w:bCs w:val="1"/>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64" w:lineRule="exact"/>
        <w:rPr>
          <w:rFonts w:ascii="Arial" w:cs="Arial" w:eastAsia="Arial" w:hAnsi="Arial"/>
          <w:sz w:val="16"/>
          <w:szCs w:val="16"/>
          <w:b w:val="1"/>
          <w:bCs w:val="1"/>
          <w:color w:val="auto"/>
        </w:rPr>
      </w:pPr>
    </w:p>
    <w:p>
      <w:pPr>
        <w:ind w:left="4" w:right="280" w:firstLine="987"/>
        <w:spacing w:after="0" w:line="277" w:lineRule="auto"/>
        <w:tabs>
          <w:tab w:leader="none" w:pos="1310" w:val="left"/>
        </w:tabs>
        <w:numPr>
          <w:ilvl w:val="2"/>
          <w:numId w:val="4"/>
        </w:numPr>
        <w:rPr>
          <w:rFonts w:ascii="Arial" w:cs="Arial" w:eastAsia="Arial" w:hAnsi="Arial"/>
          <w:sz w:val="18"/>
          <w:szCs w:val="18"/>
          <w:b w:val="1"/>
          <w:bCs w:val="1"/>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(a)(i) and (a)(ii)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reports filed with or furnished to the Commission by the registrant pursuant to Section 13 or Section 15(d) of the Exchange Act that are incorporated by reference in the registration statement.</w:t>
      </w:r>
    </w:p>
    <w:p>
      <w:pPr>
        <w:spacing w:after="0" w:line="184" w:lineRule="exact"/>
        <w:rPr>
          <w:sz w:val="20"/>
          <w:szCs w:val="20"/>
          <w:color w:val="auto"/>
        </w:rPr>
      </w:pPr>
    </w:p>
    <w:p>
      <w:pPr>
        <w:jc w:val="both"/>
        <w:ind w:left="4" w:right="180" w:firstLine="436"/>
        <w:spacing w:after="0" w:line="263" w:lineRule="auto"/>
        <w:tabs>
          <w:tab w:leader="none" w:pos="706"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bona fide offering thereof.</w:t>
      </w:r>
    </w:p>
    <w:p>
      <w:pPr>
        <w:spacing w:after="0" w:line="183" w:lineRule="exact"/>
        <w:rPr>
          <w:rFonts w:ascii="Arial" w:cs="Arial" w:eastAsia="Arial" w:hAnsi="Arial"/>
          <w:sz w:val="18"/>
          <w:szCs w:val="18"/>
          <w:b w:val="1"/>
          <w:bCs w:val="1"/>
          <w:color w:val="auto"/>
        </w:rPr>
      </w:pPr>
    </w:p>
    <w:p>
      <w:pPr>
        <w:ind w:left="4" w:right="640" w:firstLine="436"/>
        <w:spacing w:after="0" w:line="277" w:lineRule="auto"/>
        <w:tabs>
          <w:tab w:leader="none" w:pos="689"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b w:val="1"/>
          <w:bCs w:val="1"/>
          <w:color w:val="auto"/>
        </w:rPr>
      </w:pPr>
    </w:p>
    <w:p>
      <w:pPr>
        <w:ind w:left="4" w:right="240" w:firstLine="436"/>
        <w:spacing w:after="0" w:line="257" w:lineRule="auto"/>
        <w:tabs>
          <w:tab w:leader="none" w:pos="709"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7" w:lineRule="exact"/>
        <w:rPr>
          <w:rFonts w:ascii="Arial" w:cs="Arial" w:eastAsia="Arial" w:hAnsi="Arial"/>
          <w:sz w:val="18"/>
          <w:szCs w:val="18"/>
          <w:b w:val="1"/>
          <w:bCs w:val="1"/>
          <w:color w:val="auto"/>
        </w:rPr>
      </w:pPr>
    </w:p>
    <w:p>
      <w:pPr>
        <w:ind w:left="1204" w:hanging="213"/>
        <w:spacing w:after="0"/>
        <w:tabs>
          <w:tab w:leader="none" w:pos="1204" w:val="left"/>
        </w:tabs>
        <w:numPr>
          <w:ilvl w:val="2"/>
          <w:numId w:val="5"/>
        </w:numPr>
        <w:rPr>
          <w:rFonts w:ascii="Arial" w:cs="Arial" w:eastAsia="Arial" w:hAnsi="Arial"/>
          <w:sz w:val="17"/>
          <w:szCs w:val="17"/>
          <w:b w:val="1"/>
          <w:bCs w:val="1"/>
          <w:color w:val="auto"/>
        </w:rPr>
      </w:pPr>
      <w:r>
        <w:rPr>
          <w:rFonts w:ascii="Arial" w:cs="Arial" w:eastAsia="Arial" w:hAnsi="Arial"/>
          <w:sz w:val="17"/>
          <w:szCs w:val="17"/>
          <w:color w:val="auto"/>
        </w:rPr>
        <w:t>Any preliminary prospectus or prospectus of the undersigned registrant relating to the offering required to be filed pursuant to Rule</w:t>
      </w:r>
    </w:p>
    <w:p>
      <w:pPr>
        <w:spacing w:after="0" w:line="34" w:lineRule="exact"/>
        <w:rPr>
          <w:rFonts w:ascii="Arial" w:cs="Arial" w:eastAsia="Arial" w:hAnsi="Arial"/>
          <w:sz w:val="17"/>
          <w:szCs w:val="17"/>
          <w:b w:val="1"/>
          <w:bCs w:val="1"/>
          <w:color w:val="auto"/>
        </w:rPr>
      </w:pPr>
    </w:p>
    <w:p>
      <w:pPr>
        <w:ind w:left="4"/>
        <w:spacing w:after="0"/>
        <w:rPr>
          <w:rFonts w:ascii="Arial" w:cs="Arial" w:eastAsia="Arial" w:hAnsi="Arial"/>
          <w:sz w:val="17"/>
          <w:szCs w:val="17"/>
          <w:b w:val="1"/>
          <w:bCs w:val="1"/>
          <w:color w:val="auto"/>
        </w:rPr>
      </w:pPr>
      <w:r>
        <w:rPr>
          <w:rFonts w:ascii="Arial" w:cs="Arial" w:eastAsia="Arial" w:hAnsi="Arial"/>
          <w:sz w:val="18"/>
          <w:szCs w:val="18"/>
          <w:color w:val="auto"/>
        </w:rPr>
        <w:t>424;</w:t>
      </w:r>
    </w:p>
    <w:p>
      <w:pPr>
        <w:spacing w:after="0" w:line="210" w:lineRule="exact"/>
        <w:rPr>
          <w:rFonts w:ascii="Arial" w:cs="Arial" w:eastAsia="Arial" w:hAnsi="Arial"/>
          <w:sz w:val="17"/>
          <w:szCs w:val="17"/>
          <w:b w:val="1"/>
          <w:bCs w:val="1"/>
          <w:color w:val="auto"/>
        </w:rPr>
      </w:pPr>
    </w:p>
    <w:p>
      <w:pPr>
        <w:ind w:left="4" w:right="100" w:firstLine="987"/>
        <w:spacing w:after="0" w:line="277" w:lineRule="auto"/>
        <w:tabs>
          <w:tab w:leader="none" w:pos="1250" w:val="left"/>
        </w:tabs>
        <w:numPr>
          <w:ilvl w:val="2"/>
          <w:numId w:val="5"/>
        </w:numPr>
        <w:rPr>
          <w:rFonts w:ascii="Arial" w:cs="Arial" w:eastAsia="Arial" w:hAnsi="Arial"/>
          <w:sz w:val="18"/>
          <w:szCs w:val="18"/>
          <w:b w:val="1"/>
          <w:bCs w:val="1"/>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b w:val="1"/>
          <w:bCs w:val="1"/>
          <w:color w:val="auto"/>
        </w:rPr>
      </w:pPr>
    </w:p>
    <w:p>
      <w:pPr>
        <w:ind w:left="4" w:right="600" w:firstLine="987"/>
        <w:spacing w:after="0" w:line="277" w:lineRule="auto"/>
        <w:tabs>
          <w:tab w:leader="none" w:pos="1310" w:val="left"/>
        </w:tabs>
        <w:numPr>
          <w:ilvl w:val="2"/>
          <w:numId w:val="5"/>
        </w:numPr>
        <w:rPr>
          <w:rFonts w:ascii="Arial" w:cs="Arial" w:eastAsia="Arial" w:hAnsi="Arial"/>
          <w:sz w:val="18"/>
          <w:szCs w:val="18"/>
          <w:b w:val="1"/>
          <w:bCs w:val="1"/>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b w:val="1"/>
          <w:bCs w:val="1"/>
          <w:color w:val="auto"/>
        </w:rPr>
      </w:pPr>
    </w:p>
    <w:p>
      <w:pPr>
        <w:ind w:left="1304" w:hanging="313"/>
        <w:spacing w:after="0"/>
        <w:tabs>
          <w:tab w:leader="none" w:pos="1304" w:val="left"/>
        </w:tabs>
        <w:numPr>
          <w:ilvl w:val="2"/>
          <w:numId w:val="5"/>
        </w:numPr>
        <w:rPr>
          <w:rFonts w:ascii="Arial" w:cs="Arial" w:eastAsia="Arial" w:hAnsi="Arial"/>
          <w:sz w:val="18"/>
          <w:szCs w:val="18"/>
          <w:b w:val="1"/>
          <w:bCs w:val="1"/>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b w:val="1"/>
          <w:bCs w:val="1"/>
          <w:color w:val="auto"/>
        </w:rPr>
      </w:pPr>
    </w:p>
    <w:p>
      <w:pPr>
        <w:ind w:left="4" w:right="180" w:hanging="4"/>
        <w:spacing w:after="0" w:line="257" w:lineRule="auto"/>
        <w:tabs>
          <w:tab w:leader="none" w:pos="184"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ectPr>
          <w:pgSz w:w="11900" w:h="16838" w:orient="portrait"/>
          <w:cols w:equalWidth="0" w:num="1">
            <w:col w:w="11004"/>
          </w:cols>
          <w:pgMar w:left="436" w:top="270" w:right="459" w:bottom="1440" w:gutter="0" w:footer="0" w:header="0"/>
        </w:sectPr>
      </w:pPr>
    </w:p>
    <w:bookmarkStart w:id="6" w:name="page7"/>
    <w:bookmarkEnd w:id="6"/>
    <w:p>
      <w:pPr>
        <w:ind w:left="4" w:hanging="4"/>
        <w:spacing w:after="0" w:line="271" w:lineRule="auto"/>
        <w:tabs>
          <w:tab w:leader="none" w:pos="184"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784"/>
          </w:cols>
          <w:pgMar w:left="436" w:top="274" w:right="6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San Jose, State of California, on August 3, 2021.</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ANI</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OLDINGS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Talat Imran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Talat Imran and Svai Sanford, and each or any one of them,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substitutes or substitute, may lawfully do or cause to be done by virtue hereof.</w:t>
      </w:r>
    </w:p>
    <w:p>
      <w:pPr>
        <w:spacing w:after="0" w:line="192"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80" w:type="dxa"/>
            <w:vAlign w:val="bottom"/>
            <w:tcBorders>
              <w:bottom w:val="single" w:sz="8" w:color="auto"/>
            </w:tcBorders>
          </w:tcPr>
          <w:p>
            <w:pPr>
              <w:ind w:left="1820"/>
              <w:spacing w:after="0"/>
              <w:rPr>
                <w:sz w:val="20"/>
                <w:szCs w:val="20"/>
                <w:color w:val="auto"/>
              </w:rPr>
            </w:pPr>
            <w:r>
              <w:rPr>
                <w:rFonts w:ascii="Arial" w:cs="Arial" w:eastAsia="Arial" w:hAnsi="Arial"/>
                <w:sz w:val="14"/>
                <w:szCs w:val="14"/>
                <w:color w:val="auto"/>
              </w:rPr>
              <w:t>Signature</w:t>
            </w:r>
          </w:p>
        </w:tc>
        <w:tc>
          <w:tcPr>
            <w:tcW w:w="120" w:type="dxa"/>
            <w:vAlign w:val="bottom"/>
          </w:tcPr>
          <w:p>
            <w:pPr>
              <w:spacing w:after="0"/>
              <w:rPr>
                <w:sz w:val="15"/>
                <w:szCs w:val="15"/>
                <w:color w:val="auto"/>
              </w:rPr>
            </w:pPr>
          </w:p>
        </w:tc>
        <w:tc>
          <w:tcPr>
            <w:tcW w:w="4840" w:type="dxa"/>
            <w:vAlign w:val="bottom"/>
            <w:tcBorders>
              <w:bottom w:val="single" w:sz="8" w:color="auto"/>
            </w:tcBorders>
          </w:tcPr>
          <w:p>
            <w:pPr>
              <w:ind w:left="2300"/>
              <w:spacing w:after="0"/>
              <w:rPr>
                <w:sz w:val="20"/>
                <w:szCs w:val="20"/>
                <w:color w:val="auto"/>
              </w:rPr>
            </w:pPr>
            <w:r>
              <w:rPr>
                <w:rFonts w:ascii="Arial" w:cs="Arial" w:eastAsia="Arial" w:hAnsi="Arial"/>
                <w:sz w:val="14"/>
                <w:szCs w:val="14"/>
                <w:color w:val="auto"/>
              </w:rPr>
              <w:t>Title</w:t>
            </w:r>
          </w:p>
        </w:tc>
        <w:tc>
          <w:tcPr>
            <w:tcW w:w="12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Date</w:t>
            </w:r>
          </w:p>
        </w:tc>
      </w:tr>
      <w:tr>
        <w:trPr>
          <w:trHeight w:val="412"/>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Talat Imran</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President, Chief Executive Officer and 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August 3, 2021</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Talat Imran</w:t>
            </w:r>
          </w:p>
        </w:tc>
        <w:tc>
          <w:tcPr>
            <w:tcW w:w="5080" w:type="dxa"/>
            <w:vAlign w:val="bottom"/>
            <w:gridSpan w:val="3"/>
          </w:tcPr>
          <w:p>
            <w:pPr>
              <w:ind w:left="120"/>
              <w:spacing w:after="0"/>
              <w:rPr>
                <w:sz w:val="20"/>
                <w:szCs w:val="20"/>
                <w:color w:val="auto"/>
              </w:rPr>
            </w:pPr>
            <w:r>
              <w:rPr>
                <w:rFonts w:ascii="Arial" w:cs="Arial" w:eastAsia="Arial" w:hAnsi="Arial"/>
                <w:sz w:val="18"/>
                <w:szCs w:val="18"/>
                <w:i w:val="1"/>
                <w:iCs w:val="1"/>
                <w:color w:val="auto"/>
              </w:rPr>
              <w:t>(Principal Executive Officer)</w:t>
            </w: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Svai Sanford</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August 3, 2021</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Svai Sanford</w:t>
            </w:r>
          </w:p>
        </w:tc>
        <w:tc>
          <w:tcPr>
            <w:tcW w:w="5080" w:type="dxa"/>
            <w:vAlign w:val="bottom"/>
            <w:gridSpan w:val="3"/>
          </w:tcPr>
          <w:p>
            <w:pPr>
              <w:ind w:left="120"/>
              <w:spacing w:after="0"/>
              <w:rPr>
                <w:sz w:val="20"/>
                <w:szCs w:val="20"/>
                <w:color w:val="auto"/>
              </w:rPr>
            </w:pPr>
            <w:r>
              <w:rPr>
                <w:rFonts w:ascii="Arial" w:cs="Arial" w:eastAsia="Arial" w:hAnsi="Arial"/>
                <w:sz w:val="18"/>
                <w:szCs w:val="18"/>
                <w:i w:val="1"/>
                <w:iCs w:val="1"/>
                <w:color w:val="auto"/>
              </w:rPr>
              <w:t>(Principal Financial and Accounting Officer)</w:t>
            </w: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Mir Imran</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August 3, 2021</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Mir Imran</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Ausiello</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August 3, 2021</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Dennis Ausiello</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Jean-Luc Butel</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August 3, 2021</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Jean-Luc Butel</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Laureen DeBuono</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August 3, 2021</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Laureen DeBuono</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Farquharson</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August 3, 2021</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Andrew Farquharson</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Maulik Nanavaty</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August 3, 2021</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Maulik Nanavaty</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020"/>
          </w:cols>
          <w:pgMar w:left="440" w:top="270" w:right="4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171450</wp:posOffset>
            </wp:positionV>
            <wp:extent cx="1165860" cy="3771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16586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Josh Seidenfeld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+1 650 843 5862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jseidenfeld@cooley.com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3,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Rani Therapeutics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2051 Ringwood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 95131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We have acted as counsel to Rani Therapeutics Holdings,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connection with the filing by the Company of a Registration Statement on Form S-8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with the Securities and Exchange Commission covering an offering of up to 7,210,981 shares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of the Company’s Class A common stock, par value $0.0001 per share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consisting of (a) 1,210,981 shares of Common Stock issuable pursuant to the Company’s 2016 Equity Incentive Plan (as amended, the “</w:t>
      </w:r>
      <w:r>
        <w:rPr>
          <w:rFonts w:ascii="Arial" w:cs="Arial" w:eastAsia="Arial" w:hAnsi="Arial"/>
          <w:sz w:val="16"/>
          <w:szCs w:val="16"/>
          <w:b w:val="1"/>
          <w:bCs w:val="1"/>
          <w:i w:val="1"/>
          <w:iCs w:val="1"/>
          <w:color w:val="auto"/>
        </w:rPr>
        <w:t>2016 Plan</w:t>
      </w:r>
      <w:r>
        <w:rPr>
          <w:rFonts w:ascii="Arial" w:cs="Arial" w:eastAsia="Arial" w:hAnsi="Arial"/>
          <w:sz w:val="16"/>
          <w:szCs w:val="16"/>
          <w:color w:val="auto"/>
        </w:rPr>
        <w:t>”), (b) 5,500,000 shares of Common Stock issuable pursuant to the Company’s 2021 Equity Incentive Plan (the “</w:t>
      </w:r>
      <w:r>
        <w:rPr>
          <w:rFonts w:ascii="Arial" w:cs="Arial" w:eastAsia="Arial" w:hAnsi="Arial"/>
          <w:sz w:val="16"/>
          <w:szCs w:val="16"/>
          <w:b w:val="1"/>
          <w:bCs w:val="1"/>
          <w:i w:val="1"/>
          <w:iCs w:val="1"/>
          <w:color w:val="auto"/>
        </w:rPr>
        <w:t>2021 EIP</w:t>
      </w:r>
      <w:r>
        <w:rPr>
          <w:rFonts w:ascii="Arial" w:cs="Arial" w:eastAsia="Arial" w:hAnsi="Arial"/>
          <w:sz w:val="16"/>
          <w:szCs w:val="16"/>
          <w:color w:val="auto"/>
        </w:rPr>
        <w:t>”) and (c) 500,000 shares of Common Stock issuable pursuant to the Company’s 2021 Employee Stock Purchase Plan (together with the 2016 Plan and the 2021 EIP, the “</w:t>
      </w:r>
      <w:r>
        <w:rPr>
          <w:rFonts w:ascii="Arial" w:cs="Arial" w:eastAsia="Arial" w:hAnsi="Arial"/>
          <w:sz w:val="16"/>
          <w:szCs w:val="16"/>
          <w:b w:val="1"/>
          <w:bCs w:val="1"/>
          <w:i w:val="1"/>
          <w:iCs w:val="1"/>
          <w:color w:val="auto"/>
        </w:rPr>
        <w:t>Plans</w:t>
      </w:r>
      <w:r>
        <w:rPr>
          <w:rFonts w:ascii="Arial" w:cs="Arial" w:eastAsia="Arial" w:hAnsi="Arial"/>
          <w:sz w:val="16"/>
          <w:szCs w:val="16"/>
          <w:color w:val="auto"/>
        </w:rPr>
        <w:t>”).</w:t>
      </w:r>
    </w:p>
    <w:p>
      <w:pPr>
        <w:spacing w:after="0" w:line="164"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In connection with this opinion, we have (i) examined and relied upon (a) the Registration Statement and related prospectuses, (b) the Company’s Certificate of Incorporation, as amended, and Bylaws, each as currently in effect, (c) the Plans and (d) originals or copies certified to our satisfaction of such records, documents, certificates, memoranda and other instruments as in our judgment are necessary or appropriate to enable us to render the opinion expressed below and (ii) assumed that the Shares will be sold at a price established by the Board of Directors of the Company or a duly constituted committee thereof.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18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84" w:lineRule="exact"/>
        <w:rPr>
          <w:sz w:val="20"/>
          <w:szCs w:val="20"/>
          <w:color w:val="auto"/>
        </w:rPr>
      </w:pPr>
    </w:p>
    <w:p>
      <w:pPr>
        <w:jc w:val="both"/>
        <w:ind w:right="440"/>
        <w:spacing w:after="0" w:line="311" w:lineRule="auto"/>
        <w:rPr>
          <w:sz w:val="20"/>
          <w:szCs w:val="20"/>
          <w:color w:val="auto"/>
        </w:rPr>
      </w:pPr>
      <w:r>
        <w:rPr>
          <w:rFonts w:ascii="Arial" w:cs="Arial" w:eastAsia="Arial" w:hAnsi="Arial"/>
          <w:sz w:val="16"/>
          <w:szCs w:val="16"/>
          <w:color w:val="auto"/>
        </w:rPr>
        <w:t>On the basis of the foregoing, and in reliance thereon, we are of the opinion that the Shares, when sold and issued in accordance with the Plans, the Registration Statement and related prospectuses, will be validly issued, fully paid and nonassessable (except as to shares issued pursuant to certain deferred payment arrangements, which will be fully paid and nonassessable when such deferred payments are made in full).</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filing of this opinion as an exhibit to the Registration Statement.</w:t>
      </w:r>
    </w:p>
    <w:p>
      <w:pPr>
        <w:spacing w:after="0" w:line="225" w:lineRule="exact"/>
        <w:rPr>
          <w:sz w:val="20"/>
          <w:szCs w:val="20"/>
          <w:color w:val="auto"/>
        </w:rPr>
      </w:pPr>
    </w:p>
    <w:p>
      <w:pPr>
        <w:jc w:val="center"/>
        <w:spacing w:after="0"/>
        <w:tabs>
          <w:tab w:leader="none" w:pos="140" w:val="left"/>
          <w:tab w:leader="none" w:pos="160" w:val="left"/>
          <w:tab w:leader="none" w:pos="160" w:val="left"/>
        </w:tabs>
        <w:rPr>
          <w:sz w:val="20"/>
          <w:szCs w:val="20"/>
          <w:color w:val="auto"/>
        </w:rPr>
      </w:pPr>
      <w:r>
        <w:rPr>
          <w:rFonts w:ascii="Arial" w:cs="Arial" w:eastAsia="Arial" w:hAnsi="Arial"/>
          <w:sz w:val="18"/>
          <w:szCs w:val="18"/>
          <w:color w:val="auto"/>
        </w:rPr>
        <w:t>Cooley LLP</w:t>
        <w:tab/>
        <w:t>3175 Hanover Street</w:t>
        <w:tab/>
        <w:t>Palo Alto, CA</w:t>
      </w:r>
      <w:r>
        <w:rPr>
          <w:sz w:val="20"/>
          <w:szCs w:val="20"/>
          <w:color w:val="auto"/>
        </w:rPr>
        <w:tab/>
      </w:r>
      <w:r>
        <w:rPr>
          <w:rFonts w:ascii="Arial" w:cs="Arial" w:eastAsia="Arial" w:hAnsi="Arial"/>
          <w:sz w:val="16"/>
          <w:szCs w:val="16"/>
          <w:color w:val="auto"/>
        </w:rPr>
        <w:t>94304-1130</w:t>
      </w:r>
    </w:p>
    <w:p>
      <w:pPr>
        <w:spacing w:after="0" w:line="23" w:lineRule="exact"/>
        <w:rPr>
          <w:sz w:val="20"/>
          <w:szCs w:val="20"/>
          <w:color w:val="auto"/>
        </w:rPr>
      </w:pPr>
    </w:p>
    <w:p>
      <w:pPr>
        <w:jc w:val="center"/>
        <w:ind w:right="20"/>
        <w:spacing w:after="0"/>
        <w:tabs>
          <w:tab w:leader="none" w:pos="160" w:val="left"/>
          <w:tab w:leader="none" w:pos="160" w:val="left"/>
        </w:tabs>
        <w:rPr>
          <w:sz w:val="20"/>
          <w:szCs w:val="20"/>
          <w:color w:val="auto"/>
        </w:rPr>
      </w:pPr>
      <w:r>
        <w:rPr>
          <w:rFonts w:ascii="Arial" w:cs="Arial" w:eastAsia="Arial" w:hAnsi="Arial"/>
          <w:sz w:val="18"/>
          <w:szCs w:val="18"/>
          <w:color w:val="auto"/>
        </w:rPr>
        <w:t>t: (650) 843-5000</w:t>
        <w:tab/>
        <w:t>f: (650) 849-7400</w:t>
      </w:r>
      <w:r>
        <w:rPr>
          <w:sz w:val="20"/>
          <w:szCs w:val="20"/>
          <w:color w:val="auto"/>
        </w:rPr>
        <w:tab/>
      </w:r>
      <w:r>
        <w:rPr>
          <w:rFonts w:ascii="Arial" w:cs="Arial" w:eastAsia="Arial" w:hAnsi="Arial"/>
          <w:sz w:val="16"/>
          <w:szCs w:val="16"/>
          <w:color w:val="auto"/>
        </w:rPr>
        <w:t>cooley.com</w:t>
      </w:r>
    </w:p>
    <w:p>
      <w:pPr>
        <w:sectPr>
          <w:pgSz w:w="11900" w:h="16838" w:orient="portrait"/>
          <w:cols w:equalWidth="0" w:num="1">
            <w:col w:w="11020"/>
          </w:cols>
          <w:pgMar w:left="440" w:top="121"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337185</wp:posOffset>
            </wp:positionV>
            <wp:extent cx="1165860" cy="3771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Rani Therapeutics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3,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Cooley LLP</w:t>
      </w:r>
    </w:p>
    <w:p>
      <w:pPr>
        <w:spacing w:after="0" w:line="252" w:lineRule="exact"/>
        <w:rPr>
          <w:sz w:val="20"/>
          <w:szCs w:val="20"/>
          <w:color w:val="auto"/>
        </w:rPr>
      </w:pPr>
    </w:p>
    <w:p>
      <w:pPr>
        <w:jc w:val="right"/>
        <w:ind w:right="8319"/>
        <w:spacing w:after="0"/>
        <w:rPr>
          <w:sz w:val="20"/>
          <w:szCs w:val="20"/>
          <w:color w:val="auto"/>
        </w:rPr>
      </w:pPr>
      <w:r>
        <w:rPr>
          <w:rFonts w:ascii="Arial" w:cs="Arial" w:eastAsia="Arial" w:hAnsi="Arial"/>
          <w:sz w:val="16"/>
          <w:szCs w:val="16"/>
          <w:color w:val="auto"/>
        </w:rPr>
        <w:t>By: /s/ Josh Seidenfeld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29210</wp:posOffset>
            </wp:positionV>
            <wp:extent cx="2562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9" w:lineRule="exact"/>
        <w:rPr>
          <w:sz w:val="20"/>
          <w:szCs w:val="20"/>
          <w:color w:val="auto"/>
        </w:rPr>
      </w:pPr>
    </w:p>
    <w:p>
      <w:pPr>
        <w:jc w:val="right"/>
        <w:ind w:right="8259"/>
        <w:spacing w:after="0"/>
        <w:rPr>
          <w:sz w:val="20"/>
          <w:szCs w:val="20"/>
          <w:color w:val="auto"/>
        </w:rPr>
      </w:pPr>
      <w:r>
        <w:rPr>
          <w:rFonts w:ascii="Arial" w:cs="Arial" w:eastAsia="Arial" w:hAnsi="Arial"/>
          <w:sz w:val="18"/>
          <w:szCs w:val="18"/>
          <w:color w:val="auto"/>
        </w:rPr>
        <w:t>Josh Seidenfeld</w:t>
      </w:r>
    </w:p>
    <w:p>
      <w:pPr>
        <w:spacing w:after="0" w:line="225" w:lineRule="exact"/>
        <w:rPr>
          <w:sz w:val="20"/>
          <w:szCs w:val="20"/>
          <w:color w:val="auto"/>
        </w:rPr>
      </w:pPr>
    </w:p>
    <w:p>
      <w:pPr>
        <w:jc w:val="center"/>
        <w:ind w:right="-1000"/>
        <w:spacing w:after="0"/>
        <w:tabs>
          <w:tab w:leader="none" w:pos="140" w:val="left"/>
          <w:tab w:leader="none" w:pos="160" w:val="left"/>
          <w:tab w:leader="none" w:pos="160" w:val="left"/>
        </w:tabs>
        <w:rPr>
          <w:sz w:val="20"/>
          <w:szCs w:val="20"/>
          <w:color w:val="auto"/>
        </w:rPr>
      </w:pPr>
      <w:r>
        <w:rPr>
          <w:rFonts w:ascii="Arial" w:cs="Arial" w:eastAsia="Arial" w:hAnsi="Arial"/>
          <w:sz w:val="18"/>
          <w:szCs w:val="18"/>
          <w:color w:val="auto"/>
        </w:rPr>
        <w:t>Cooley LLP</w:t>
        <w:tab/>
        <w:t>3175 Hanover Street</w:t>
        <w:tab/>
        <w:t>Palo Alto, CA</w:t>
      </w:r>
      <w:r>
        <w:rPr>
          <w:sz w:val="20"/>
          <w:szCs w:val="20"/>
          <w:color w:val="auto"/>
        </w:rPr>
        <w:tab/>
      </w:r>
      <w:r>
        <w:rPr>
          <w:rFonts w:ascii="Arial" w:cs="Arial" w:eastAsia="Arial" w:hAnsi="Arial"/>
          <w:sz w:val="16"/>
          <w:szCs w:val="16"/>
          <w:color w:val="auto"/>
        </w:rPr>
        <w:t>94304-1130</w:t>
      </w:r>
    </w:p>
    <w:p>
      <w:pPr>
        <w:spacing w:after="0" w:line="23" w:lineRule="exact"/>
        <w:rPr>
          <w:sz w:val="20"/>
          <w:szCs w:val="20"/>
          <w:color w:val="auto"/>
        </w:rPr>
      </w:pPr>
    </w:p>
    <w:p>
      <w:pPr>
        <w:jc w:val="center"/>
        <w:ind w:right="-980"/>
        <w:spacing w:after="0"/>
        <w:tabs>
          <w:tab w:leader="none" w:pos="160" w:val="left"/>
          <w:tab w:leader="none" w:pos="160" w:val="left"/>
        </w:tabs>
        <w:rPr>
          <w:sz w:val="20"/>
          <w:szCs w:val="20"/>
          <w:color w:val="auto"/>
        </w:rPr>
      </w:pPr>
      <w:r>
        <w:rPr>
          <w:rFonts w:ascii="Arial" w:cs="Arial" w:eastAsia="Arial" w:hAnsi="Arial"/>
          <w:sz w:val="18"/>
          <w:szCs w:val="18"/>
          <w:color w:val="auto"/>
        </w:rPr>
        <w:t>t: (650) 843-5000</w:t>
        <w:tab/>
        <w:t>f: (650) 849-7400</w:t>
      </w:r>
      <w:r>
        <w:rPr>
          <w:sz w:val="20"/>
          <w:szCs w:val="20"/>
          <w:color w:val="auto"/>
        </w:rPr>
        <w:tab/>
      </w:r>
      <w:r>
        <w:rPr>
          <w:rFonts w:ascii="Arial" w:cs="Arial" w:eastAsia="Arial" w:hAnsi="Arial"/>
          <w:sz w:val="16"/>
          <w:szCs w:val="16"/>
          <w:color w:val="auto"/>
        </w:rPr>
        <w:t>cooley.com</w:t>
      </w:r>
    </w:p>
    <w:p>
      <w:pPr>
        <w:sectPr>
          <w:pgSz w:w="11900" w:h="16838" w:orient="portrait"/>
          <w:cols w:equalWidth="0" w:num="1">
            <w:col w:w="10019"/>
          </w:cols>
          <w:pgMar w:left="440" w:top="1327" w:right="1440"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 on Form S-8 pertaining to the Rani Therapeutics Holdings, Inc. 2021 Equity Incentive Plan, the Rani Therapeutics Holdings, Inc. 2021 Employee Stock Purchase Plan and the Rani Therapeutics, LLC 2016 Equity Incentive Plan of Rani Therapeutics Holdings, Inc. of our report dated April 26, 2021, with respect to the financial statements of Rani Therapeutics Holdings, Inc. as of April 19, 2021, included in Amendment No. 2 to the Registration Statement (Form S-1 No. 333-257809) filed with the Securities and Exchange Commission.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3, 2021</w:t>
      </w:r>
    </w:p>
    <w:p>
      <w:pPr>
        <w:sectPr>
          <w:pgSz w:w="11900" w:h="16838" w:orient="portrait"/>
          <w:cols w:equalWidth="0" w:num="1">
            <w:col w:w="11020"/>
          </w:cols>
          <w:pgMar w:left="440" w:top="121" w:right="4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23.3</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 on Form S-8 pertaining to the Rani Therapeutics Holdings, Inc. 2021 Equity Incentive Plan, the Rani Therapeutics Holdings, Inc. 2021 Employee Stock Purchase Plan and the Rani Therapeutics, LLC 2016 Equity Incentive Plan of Rani Therapeutics Holdings, Inc. of our report dated April 26, 2021, with respect to the consolidated financial statements of Rani Therapeutics, LLC for the years ended December 31, 2019 and 2020, included in Amendment No. 2 to the Registration Statement (Form S-1 No. 333-257809) filed with the Securities and Exchange Commission.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3,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
    <w:nsid w:val="507ED7A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
    <w:nsid w:val="2EB141F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6">
    <w:nsid w:val="41B71EF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4"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jpeg"/><Relationship Id="rId37" Type="http://schemas.openxmlformats.org/officeDocument/2006/relationships/image" Target="media/image22.png"/><Relationship Id="rId38" Type="http://schemas.openxmlformats.org/officeDocument/2006/relationships/image" Target="media/image23.jpeg"/><Relationship Id="rId39" Type="http://schemas.openxmlformats.org/officeDocument/2006/relationships/image" Target="media/image24.png"/><Relationship Id="rId22" Type="http://schemas.openxmlformats.org/officeDocument/2006/relationships/hyperlink" Target="http://www.sec.gov/Archives/edgar/data/1856725/000119312521233246/d151628d424b4.htm" TargetMode="External"/><Relationship Id="rId23" Type="http://schemas.openxmlformats.org/officeDocument/2006/relationships/hyperlink" Target="http://www.sec.gov/Archives/edgar/data/1856725/000119312521224394/d193678d8a12b.htm" TargetMode="External"/><Relationship Id="rId25" Type="http://schemas.openxmlformats.org/officeDocument/2006/relationships/hyperlink" Target="http://www.sec.gov/Archives/edgar/data/1856725/000119312521223596/d151628dex31.htm" TargetMode="External"/><Relationship Id="rId26" Type="http://schemas.openxmlformats.org/officeDocument/2006/relationships/hyperlink" Target="http://www.sec.gov/Archives/edgar/data/1856725/000119312521211922/d151628dex34.htm" TargetMode="External"/><Relationship Id="rId27" Type="http://schemas.openxmlformats.org/officeDocument/2006/relationships/hyperlink" Target="http://www.sec.gov/Archives/edgar/data/1856725/000119312521223596/d151628dex41.htm" TargetMode="External"/><Relationship Id="rId28" Type="http://schemas.openxmlformats.org/officeDocument/2006/relationships/hyperlink" Target="http://www.sec.gov/Archives/edgar/data/1856725/000119312521211922/d151628dex105.htm" TargetMode="External"/><Relationship Id="rId29" Type="http://schemas.openxmlformats.org/officeDocument/2006/relationships/hyperlink" Target="http://www.sec.gov/Archives/edgar/data/1856725/000119312521223596/d151628dex107.htm" TargetMode="External"/><Relationship Id="rId30" Type="http://schemas.openxmlformats.org/officeDocument/2006/relationships/hyperlink" Target="http://www.sec.gov/Archives/edgar/data/1856725/000119312521223596/d151628dex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2021-08-03T16:30:20Z</dcterms:created>
  <dcterms:modified xsi:type="dcterms:W3CDTF">2021-08-03T16:30:20Z</dcterms:modified>
</cp:coreProperties>
</file>