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86-3114789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2051 Ringwood Avenue</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95131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14, 2025, Rani Therapeutics Holdings, Inc., or Rani, entered into a securities purchase agreement, or the Purchase Agreement, with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institutional investor, or the Purchaser, relating to the issuance and sale, or the Offering, of 4,354,000 shares of our Class A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or Class A common stock, and pre-funded warrants to purchase 3,146,000 shares of Class A common stock. The pre-funded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exercisable immediately following the closing date of the Offering and have an unlimited term and an exercise price of $0.0001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is $0.40 per share of Class A common stock, and $0.3999 per pre-funded warrant. The aggregate gross proceeds to Rani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are expected to be approximately $3.0 million, before deducting placement agent fees and other estimated Offering expenses payable by Rani.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Offering is expected to occur on or about July 16, 2025, subject to the satisfaction of customary closing conditions.</w:t>
      </w:r>
    </w:p>
    <w:p>
      <w:pPr>
        <w:spacing w:after="0" w:line="20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Rani, customary conditions to closing, and indemnification obligations of Rani and the Purchaser. The representations, warranties and covenants contained in the Purchase Agreement were made only for purposes of the Purchase Agreement and as of a specific date, were solely for the benefit of the parties to the Purchase Agreement, and may be subject to limitations agreed upon by the parties.</w:t>
      </w:r>
    </w:p>
    <w:p>
      <w:pPr>
        <w:spacing w:after="0" w:line="180"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Pursuant to the terms of the Purchase Agreement, until 10 days following the closing of the Offering, Rani has agreed not to issue, enter into any agreement to issue, or announce the issuance or proposed issuance of any shares of Class A common stock or common stock equivalents, or file or amend any registration statement or prospectus, other than as necessary to maintain the registration of the securities issued in the Offering. Rani has further agreed not to enter into an agreement involving any new variable rate transactions until 10 days following the closing of the Offering, subject to certain exceptions. In addition, Rani’s directors and officers have entered into lock-up agreements with Rani pursuant to which each of them has agreed not to, for a period of 45 days from the closing of the Offering, offer, sell, transfer or otherwise dispose of Rani’s securities, subject to certain exceptions.</w:t>
      </w:r>
    </w:p>
    <w:p>
      <w:pPr>
        <w:spacing w:after="0" w:line="189" w:lineRule="exact"/>
        <w:rPr>
          <w:sz w:val="20"/>
          <w:szCs w:val="20"/>
          <w:color w:val="auto"/>
        </w:rPr>
      </w:pPr>
    </w:p>
    <w:p>
      <w:pPr>
        <w:jc w:val="both"/>
        <w:ind w:right="200" w:firstLine="440"/>
        <w:spacing w:after="0" w:line="312" w:lineRule="auto"/>
        <w:rPr>
          <w:sz w:val="20"/>
          <w:szCs w:val="20"/>
          <w:color w:val="auto"/>
        </w:rPr>
      </w:pPr>
      <w:r>
        <w:rPr>
          <w:rFonts w:ascii="Times New Roman" w:cs="Times New Roman" w:eastAsia="Times New Roman" w:hAnsi="Times New Roman"/>
          <w:sz w:val="17"/>
          <w:szCs w:val="17"/>
          <w:color w:val="auto"/>
        </w:rPr>
        <w:t>Rani engaged Maxim Group LLC to act as placement agent in the Offering and entered into a placement agency agreement dated July 14, 2025, pursuant to which Rani has agreed to pay the placement agent a cash fee equal to 5.25% of the aggregate gross proceeds generated from the Offering.</w:t>
      </w:r>
    </w:p>
    <w:p>
      <w:pPr>
        <w:spacing w:after="0" w:line="14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Offering is being made pursuant to Rani’s registration statement on Form S-3 (No. 333-266444), as previously declared effective by the Securities and Exchange Commission, or the SEC, on August 10, 2022, and a related base prospectus and prospectus supplement.</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 copy of the form of pre-funded warrant is filed as Exhibit 4.1 hereto and the form of Purchase Agreement is filed as Exhibit 10.1 hereto. The foregoing descriptions of the terms of the Purchase Agreement and the pre-funded warrant are qualified in their entirety by reference to such exhibits. A copy of the opinion of Cooley LLP relating to the legality of the issuance and sale of the securities in the Offering is attached as Exhibit 5.1 hereto.</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ATM Agreement</w:t>
      </w:r>
    </w:p>
    <w:p>
      <w:pPr>
        <w:spacing w:after="0" w:line="119"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On July 14, 2025, Rani suspended the use of its prospectus supplement and related prospectus filed with the SEC and dated May 19, 2025 relating to the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dated August 24, 2022, or the Sales Agreement, by and between Rani and H.C. Wainwright &amp; Co., LLC. Rani will not make any sales of Class A common stock pursuant to the Sales Agreement unless and until a new prospectus supplement is filed with the SEC. Other than the termination of the prospectus supplement and prospectus relating to the Sales Agreement, the Sales Agreement remains in full force and effect.</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04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9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80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80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20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Opinion of Cooley LLP</w:t>
            </w:r>
          </w:p>
        </w:tc>
        <w:tc>
          <w:tcPr>
            <w:tcW w:w="59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4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Form of Securities Purchase Agreement, dated July 14, 2025</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80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Cooley LLP (contained in Exhibit 5.1)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80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9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6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Rani Therapeutics Holdings, Inc.</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July 16,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Svai Sanford</w:t>
            </w:r>
          </w:p>
        </w:tc>
      </w:tr>
      <w:tr>
        <w:trPr>
          <w:trHeight w:val="191"/>
        </w:trPr>
        <w:tc>
          <w:tcPr>
            <w:tcW w:w="33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Svai Sanford</w:t>
            </w:r>
          </w:p>
        </w:tc>
      </w:tr>
      <w:tr>
        <w:trPr>
          <w:trHeight w:val="234"/>
        </w:trPr>
        <w:tc>
          <w:tcPr>
            <w:tcW w:w="3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PREFUNDED COMMON STOCK PURCHASE WARRANT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Date: July __, 2025</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w:t>
      </w:r>
    </w:p>
    <w:p>
      <w:pPr>
        <w:spacing w:after="0" w:line="27"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7"/>
          <w:szCs w:val="17"/>
          <w:color w:val="auto"/>
        </w:rPr>
        <w:t>its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until this Warrant is exercised in full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Rani Therapeutics Holdings,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of Common Stock (as subject to</w:t>
      </w:r>
    </w:p>
    <w:p>
      <w:pPr>
        <w:ind w:right="60"/>
        <w:spacing w:after="0" w:line="260" w:lineRule="auto"/>
        <w:rPr>
          <w:sz w:val="20"/>
          <w:szCs w:val="20"/>
          <w:color w:val="auto"/>
        </w:rPr>
      </w:pPr>
      <w:r>
        <w:rPr>
          <w:rFonts w:ascii="Times New Roman" w:cs="Times New Roman" w:eastAsia="Times New Roman" w:hAnsi="Times New Roman"/>
          <w:sz w:val="18"/>
          <w:szCs w:val="18"/>
          <w:color w:val="auto"/>
        </w:rPr>
        <w:t>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July 14, 2025, among the Company and the purchasers signatory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3" w:lineRule="auto"/>
        <w:tabs>
          <w:tab w:leader="none" w:pos="10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w:t>
      </w:r>
    </w:p>
    <w:p>
      <w:pPr>
        <w:sectPr>
          <w:pgSz w:w="11900" w:h="16838" w:orient="portrait"/>
          <w:cols w:equalWidth="0" w:num="1">
            <w:col w:w="11020"/>
          </w:cols>
          <w:pgMar w:left="440" w:top="117" w:right="439" w:bottom="1440" w:gutter="0" w:footer="0" w:header="0"/>
          <w:type w:val="continuous"/>
        </w:sectPr>
      </w:pPr>
    </w:p>
    <w:bookmarkStart w:id="5" w:name="page6"/>
    <w:bookmarkEnd w:id="5"/>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5"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(such remaining unpaid exercise price,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If at the time of exercise hereof there is no effective registration statement registering and the prospectus contained therein is not available for the issuance of the Warrant Shares to the Holder, then this Warrant may only be exercised pursuant to the “cashless exercise” provisions of Section 2(c) below.</w:t>
      </w:r>
    </w:p>
    <w:p>
      <w:pPr>
        <w:spacing w:after="0" w:line="80" w:lineRule="exact"/>
        <w:rPr>
          <w:sz w:val="20"/>
          <w:szCs w:val="20"/>
          <w:color w:val="auto"/>
        </w:rPr>
      </w:pPr>
    </w:p>
    <w:p>
      <w:pPr>
        <w:ind w:right="180" w:firstLine="419"/>
        <w:spacing w:after="0" w:line="282" w:lineRule="auto"/>
        <w:tabs>
          <w:tab w:leader="none" w:pos="6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67" w:lineRule="exact"/>
        <w:rPr>
          <w:sz w:val="20"/>
          <w:szCs w:val="20"/>
          <w:color w:val="auto"/>
        </w:rPr>
      </w:pPr>
    </w:p>
    <w:p>
      <w:pPr>
        <w:ind w:left="980" w:right="20" w:hanging="431"/>
        <w:spacing w:after="0" w:line="253" w:lineRule="auto"/>
        <w:rPr>
          <w:sz w:val="20"/>
          <w:szCs w:val="20"/>
          <w:color w:val="auto"/>
        </w:rPr>
      </w:pPr>
      <w:r>
        <w:rPr>
          <w:rFonts w:ascii="Times New Roman" w:cs="Times New Roman" w:eastAsia="Times New Roman" w:hAnsi="Times New Roman"/>
          <w:sz w:val="18"/>
          <w:szCs w:val="18"/>
          <w:color w:val="auto"/>
        </w:rPr>
        <w:t>(A) = as applicable: (i) the VWAP (as defined below)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ectPr>
          <w:pgSz w:w="11900" w:h="16838" w:orient="portrait"/>
          <w:cols w:equalWidth="0" w:num="1">
            <w:col w:w="10520"/>
          </w:cols>
          <w:pgMar w:left="880" w:top="270" w:right="499" w:bottom="1440" w:gutter="0" w:footer="0" w:header="0"/>
        </w:sectPr>
      </w:pPr>
    </w:p>
    <w:bookmarkStart w:id="6" w:name="page7"/>
    <w:bookmarkEnd w:id="6"/>
    <w:p>
      <w:pPr>
        <w:ind w:left="980" w:right="24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 = the number of Warrant Shares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68" w:lineRule="exact"/>
        <w:rPr>
          <w:sz w:val="20"/>
          <w:szCs w:val="20"/>
          <w:color w:val="auto"/>
        </w:rPr>
      </w:pPr>
    </w:p>
    <w:p>
      <w:pPr>
        <w:ind w:right="18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ectPr>
          <w:pgSz w:w="11900" w:h="16838" w:orient="portrait"/>
          <w:cols w:equalWidth="0" w:num="1">
            <w:col w:w="10560"/>
          </w:cols>
          <w:pgMar w:left="880" w:top="270" w:right="459" w:bottom="1440" w:gutter="0" w:footer="0" w:header="0"/>
        </w:sectPr>
      </w:pPr>
    </w:p>
    <w:bookmarkStart w:id="7" w:name="page8"/>
    <w:bookmarkEnd w:id="7"/>
    <w:p>
      <w:pPr>
        <w:ind w:left="201" w:hanging="201"/>
        <w:spacing w:after="0"/>
        <w:tabs>
          <w:tab w:leader="none" w:pos="2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52" w:lineRule="auto"/>
        <w:tabs>
          <w:tab w:leader="none" w:pos="66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aggregate Exercise Price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81" w:lineRule="exact"/>
        <w:rPr>
          <w:rFonts w:ascii="Times New Roman" w:cs="Times New Roman" w:eastAsia="Times New Roman" w:hAnsi="Times New Roman"/>
          <w:sz w:val="18"/>
          <w:szCs w:val="18"/>
          <w:color w:val="auto"/>
        </w:rPr>
      </w:pPr>
    </w:p>
    <w:p>
      <w:pPr>
        <w:ind w:left="121" w:right="80" w:firstLine="408"/>
        <w:spacing w:after="0" w:line="261" w:lineRule="auto"/>
        <w:tabs>
          <w:tab w:leader="none" w:pos="71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ectPr>
          <w:pgSz w:w="11900" w:h="16838" w:orient="portrait"/>
          <w:cols w:equalWidth="0" w:num="1">
            <w:col w:w="10141"/>
          </w:cols>
          <w:pgMar w:left="1299" w:top="270" w:right="459" w:bottom="1440" w:gutter="0" w:footer="0" w:header="0"/>
        </w:sectPr>
      </w:pPr>
    </w:p>
    <w:bookmarkStart w:id="8" w:name="page9"/>
    <w:bookmarkEnd w:id="8"/>
    <w:p>
      <w:pPr>
        <w:ind w:left="-20" w:right="400" w:firstLine="408"/>
        <w:spacing w:after="0" w:line="282" w:lineRule="auto"/>
        <w:tabs>
          <w:tab w:leader="none" w:pos="6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20" w:firstLine="408"/>
        <w:spacing w:after="0" w:line="252" w:lineRule="auto"/>
        <w:tabs>
          <w:tab w:leader="none" w:pos="5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82" w:lineRule="exact"/>
        <w:rPr>
          <w:rFonts w:ascii="Times New Roman" w:cs="Times New Roman" w:eastAsia="Times New Roman" w:hAnsi="Times New Roman"/>
          <w:sz w:val="18"/>
          <w:szCs w:val="18"/>
          <w:color w:val="auto"/>
        </w:rPr>
      </w:pPr>
    </w:p>
    <w:p>
      <w:pPr>
        <w:ind w:left="-20" w:right="20" w:firstLine="408"/>
        <w:spacing w:after="0" w:line="261" w:lineRule="auto"/>
        <w:tabs>
          <w:tab w:leader="none" w:pos="5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ectPr>
          <w:pgSz w:w="11900" w:h="16838" w:orient="portrait"/>
          <w:cols w:equalWidth="0" w:num="1">
            <w:col w:w="9980"/>
          </w:cols>
          <w:pgMar w:left="1440" w:top="270" w:right="479" w:bottom="1440" w:gutter="0" w:footer="0" w:header="0"/>
        </w:sectPr>
      </w:pPr>
    </w:p>
    <w:bookmarkStart w:id="9" w:name="page10"/>
    <w:bookmarkEnd w:id="9"/>
    <w:p>
      <w:pPr>
        <w:ind w:left="544" w:firstLine="408"/>
        <w:spacing w:after="0" w:line="272" w:lineRule="auto"/>
        <w:tabs>
          <w:tab w:leader="none" w:pos="1174"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63" w:lineRule="exact"/>
        <w:rPr>
          <w:rFonts w:ascii="Times New Roman" w:cs="Times New Roman" w:eastAsia="Times New Roman" w:hAnsi="Times New Roman"/>
          <w:sz w:val="17"/>
          <w:szCs w:val="17"/>
          <w:color w:val="auto"/>
        </w:rPr>
      </w:pPr>
    </w:p>
    <w:p>
      <w:pPr>
        <w:ind w:left="544" w:right="600" w:firstLine="408"/>
        <w:spacing w:after="0" w:line="282" w:lineRule="auto"/>
        <w:tabs>
          <w:tab w:leader="none" w:pos="122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left="4" w:right="20" w:firstLine="419"/>
        <w:spacing w:after="0" w:line="268" w:lineRule="auto"/>
        <w:tabs>
          <w:tab w:leader="none" w:pos="61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ind w:left="4" w:right="80" w:hanging="4"/>
        <w:spacing w:after="0" w:line="252" w:lineRule="auto"/>
        <w:tabs>
          <w:tab w:leader="none" w:pos="2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w:t>
      </w:r>
    </w:p>
    <w:p>
      <w:pPr>
        <w:sectPr>
          <w:pgSz w:w="11900" w:h="16838" w:orient="portrait"/>
          <w:cols w:equalWidth="0" w:num="1">
            <w:col w:w="10544"/>
          </w:cols>
          <w:pgMar w:left="876" w:top="270" w:right="479" w:bottom="1440" w:gutter="0" w:footer="0" w:header="0"/>
        </w:sectPr>
      </w:pPr>
    </w:p>
    <w:bookmarkStart w:id="10" w:name="page11"/>
    <w:bookmarkEnd w:id="1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9" w:lineRule="auto"/>
        <w:tabs>
          <w:tab w:leader="none" w:pos="60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ectPr>
          <w:pgSz w:w="11900" w:h="16838" w:orient="portrait"/>
          <w:cols w:equalWidth="0" w:num="1">
            <w:col w:w="10560"/>
          </w:cols>
          <w:pgMar w:left="880" w:top="270" w:right="459" w:bottom="1440" w:gutter="0" w:footer="0" w:header="0"/>
        </w:sectPr>
      </w:pPr>
    </w:p>
    <w:bookmarkStart w:id="11" w:name="page12"/>
    <w:bookmarkEnd w:id="11"/>
    <w:p>
      <w:pPr>
        <w:ind w:left="-419" w:firstLine="419"/>
        <w:spacing w:after="0" w:line="253" w:lineRule="auto"/>
        <w:tabs>
          <w:tab w:leader="none" w:pos="1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all of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81" w:lineRule="exact"/>
        <w:rPr>
          <w:rFonts w:ascii="Times New Roman" w:cs="Times New Roman" w:eastAsia="Times New Roman" w:hAnsi="Times New Roman"/>
          <w:sz w:val="18"/>
          <w:szCs w:val="18"/>
          <w:color w:val="auto"/>
        </w:rPr>
      </w:pPr>
    </w:p>
    <w:p>
      <w:pPr>
        <w:ind w:left="-419" w:right="20" w:firstLine="419"/>
        <w:spacing w:after="0" w:line="252" w:lineRule="auto"/>
        <w:tabs>
          <w:tab w:leader="none" w:pos="1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ectPr>
          <w:pgSz w:w="11900" w:h="16838" w:orient="portrait"/>
          <w:cols w:equalWidth="0" w:num="1">
            <w:col w:w="10121"/>
          </w:cols>
          <w:pgMar w:left="1299" w:top="270" w:right="479" w:bottom="1440" w:gutter="0" w:footer="0" w:header="0"/>
        </w:sectPr>
      </w:pPr>
    </w:p>
    <w:bookmarkStart w:id="12" w:name="page13"/>
    <w:bookmarkEnd w:id="12"/>
    <w:p>
      <w:pPr>
        <w:ind w:left="-419" w:firstLine="419"/>
        <w:spacing w:after="0" w:line="251" w:lineRule="auto"/>
        <w:tabs>
          <w:tab w:leader="none" w:pos="1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shares of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(which, for the avoidance of doubt, shall not include transactions consummated by the Company for the principal purpose of raising capital for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w:t>
      </w:r>
    </w:p>
    <w:p>
      <w:pPr>
        <w:sectPr>
          <w:pgSz w:w="11900" w:h="16838" w:orient="portrait"/>
          <w:cols w:equalWidth="0" w:num="1">
            <w:col w:w="10141"/>
          </w:cols>
          <w:pgMar w:left="1299" w:top="270" w:right="459" w:bottom="1440" w:gutter="0" w:footer="0" w:header="0"/>
        </w:sectPr>
      </w:pPr>
    </w:p>
    <w:bookmarkStart w:id="13" w:name="page14"/>
    <w:bookmarkEnd w:id="13"/>
    <w:p>
      <w:pPr>
        <w:ind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71" w:lineRule="exact"/>
        <w:rPr>
          <w:sz w:val="20"/>
          <w:szCs w:val="20"/>
          <w:color w:val="auto"/>
        </w:rPr>
      </w:pPr>
    </w:p>
    <w:p>
      <w:pPr>
        <w:ind w:right="60" w:firstLine="419"/>
        <w:spacing w:after="0" w:line="266" w:lineRule="auto"/>
        <w:tabs>
          <w:tab w:leader="none" w:pos="6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66" w:lineRule="auto"/>
        <w:tabs>
          <w:tab w:leader="none" w:pos="108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67" w:lineRule="exact"/>
        <w:rPr>
          <w:rFonts w:ascii="Times New Roman" w:cs="Times New Roman" w:eastAsia="Times New Roman" w:hAnsi="Times New Roman"/>
          <w:sz w:val="18"/>
          <w:szCs w:val="18"/>
          <w:color w:val="auto"/>
        </w:rPr>
      </w:pPr>
    </w:p>
    <w:p>
      <w:pPr>
        <w:ind w:left="540" w:right="20" w:firstLine="408"/>
        <w:spacing w:after="0" w:line="266" w:lineRule="auto"/>
        <w:tabs>
          <w:tab w:leader="none" w:pos="11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w:t>
      </w:r>
    </w:p>
    <w:p>
      <w:pPr>
        <w:sectPr>
          <w:pgSz w:w="11900" w:h="16838" w:orient="portrait"/>
          <w:cols w:equalWidth="0" w:num="1">
            <w:col w:w="10560"/>
          </w:cols>
          <w:pgMar w:left="880" w:top="270" w:right="459" w:bottom="1440" w:gutter="0" w:footer="0" w:header="0"/>
        </w:sectPr>
      </w:pPr>
    </w:p>
    <w:bookmarkStart w:id="14" w:name="page15"/>
    <w:bookmarkEnd w:id="14"/>
    <w:p>
      <w:pPr>
        <w:ind w:left="5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4" w:lineRule="auto"/>
        <w:tabs>
          <w:tab w:leader="none" w:pos="6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w:t>
      </w:r>
    </w:p>
    <w:p>
      <w:pPr>
        <w:sectPr>
          <w:pgSz w:w="11900" w:h="16838" w:orient="portrait"/>
          <w:cols w:equalWidth="0" w:num="1">
            <w:col w:w="10560"/>
          </w:cols>
          <w:pgMar w:left="880" w:top="270" w:right="459" w:bottom="1440" w:gutter="0" w:footer="0" w:header="0"/>
        </w:sectPr>
      </w:pPr>
    </w:p>
    <w:bookmarkStart w:id="15" w:name="page16"/>
    <w:bookmarkEnd w:id="15"/>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68" w:lineRule="exact"/>
        <w:rPr>
          <w:sz w:val="20"/>
          <w:szCs w:val="20"/>
          <w:color w:val="auto"/>
        </w:rPr>
      </w:pPr>
    </w:p>
    <w:p>
      <w:pPr>
        <w:ind w:right="20" w:firstLine="419"/>
        <w:spacing w:after="0" w:line="256" w:lineRule="auto"/>
        <w:tabs>
          <w:tab w:leader="none" w:pos="6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firstLine="419"/>
        <w:spacing w:after="0" w:line="261" w:lineRule="auto"/>
        <w:tabs>
          <w:tab w:leader="none" w:pos="6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81" w:lineRule="auto"/>
        <w:tabs>
          <w:tab w:leader="none" w:pos="60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w:t>
      </w:r>
      <w:r>
        <w:rPr>
          <w:rFonts w:ascii="Times New Roman" w:cs="Times New Roman" w:eastAsia="Times New Roman" w:hAnsi="Times New Roman"/>
          <w:sz w:val="17"/>
          <w:szCs w:val="17"/>
          <w:b w:val="1"/>
          <w:bCs w:val="1"/>
          <w:color w:val="auto"/>
        </w:rPr>
        <w:t>in no event shall the Company be required to net cash settle this Warrant</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right="160" w:firstLine="419"/>
        <w:spacing w:after="0" w:line="258" w:lineRule="auto"/>
        <w:tabs>
          <w:tab w:leader="none" w:pos="6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380" w:firstLine="419"/>
        <w:spacing w:after="0" w:line="312" w:lineRule="auto"/>
        <w:tabs>
          <w:tab w:leader="none" w:pos="60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ectPr>
          <w:pgSz w:w="11900" w:h="16838" w:orient="portrait"/>
          <w:cols w:equalWidth="0" w:num="1">
            <w:col w:w="10540"/>
          </w:cols>
          <w:pgMar w:left="880" w:top="270" w:right="479" w:bottom="1440" w:gutter="0" w:footer="0" w:header="0"/>
        </w:sectPr>
      </w:pPr>
    </w:p>
    <w:bookmarkStart w:id="16" w:name="page17"/>
    <w:bookmarkEnd w:id="16"/>
    <w:p>
      <w:pPr>
        <w:ind w:left="201" w:hanging="201"/>
        <w:spacing w:after="0"/>
        <w:tabs>
          <w:tab w:leader="none" w:pos="2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1" w:right="20" w:firstLine="401"/>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121" w:firstLine="401"/>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6" w:lineRule="exact"/>
        <w:rPr>
          <w:sz w:val="20"/>
          <w:szCs w:val="20"/>
          <w:color w:val="auto"/>
        </w:rPr>
      </w:pPr>
    </w:p>
    <w:p>
      <w:pPr>
        <w:jc w:val="both"/>
        <w:ind w:left="121" w:right="10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left="-419" w:right="340" w:firstLine="419"/>
        <w:spacing w:after="0" w:line="282" w:lineRule="auto"/>
        <w:tabs>
          <w:tab w:leader="none" w:pos="1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ectPr>
          <w:pgSz w:w="11900" w:h="16838" w:orient="portrait"/>
          <w:cols w:equalWidth="0" w:num="1">
            <w:col w:w="10141"/>
          </w:cols>
          <w:pgMar w:left="1299" w:top="270" w:right="459" w:bottom="1440" w:gutter="0" w:footer="0" w:header="0"/>
        </w:sectPr>
      </w:pPr>
    </w:p>
    <w:bookmarkStart w:id="17" w:name="page18"/>
    <w:bookmarkEnd w:id="17"/>
    <w:p>
      <w:pPr>
        <w:ind w:right="480" w:firstLine="419"/>
        <w:spacing w:after="0" w:line="282" w:lineRule="auto"/>
        <w:tabs>
          <w:tab w:leader="none" w:pos="5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right="20" w:firstLine="419"/>
        <w:spacing w:after="0" w:line="255" w:lineRule="auto"/>
        <w:tabs>
          <w:tab w:leader="none" w:pos="6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0" w:lineRule="exact"/>
        <w:rPr>
          <w:rFonts w:ascii="Times New Roman" w:cs="Times New Roman" w:eastAsia="Times New Roman" w:hAnsi="Times New Roman"/>
          <w:sz w:val="18"/>
          <w:szCs w:val="18"/>
          <w:color w:val="auto"/>
        </w:rPr>
      </w:pPr>
    </w:p>
    <w:p>
      <w:pPr>
        <w:ind w:right="380" w:firstLine="419"/>
        <w:spacing w:after="0" w:line="282" w:lineRule="auto"/>
        <w:tabs>
          <w:tab w:leader="none" w:pos="6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ectPr>
          <w:pgSz w:w="11900" w:h="16838" w:orient="portrait"/>
          <w:cols w:equalWidth="0" w:num="1">
            <w:col w:w="10560"/>
          </w:cols>
          <w:pgMar w:left="880" w:top="270" w:right="459" w:bottom="1440" w:gutter="0" w:footer="0" w:header="0"/>
        </w:sectPr>
      </w:pPr>
    </w:p>
    <w:bookmarkStart w:id="18" w:name="page19"/>
    <w:bookmarkEnd w:id="18"/>
    <w:p>
      <w:pPr>
        <w:ind w:firstLine="419"/>
        <w:spacing w:after="0" w:line="266" w:lineRule="auto"/>
        <w:tabs>
          <w:tab w:leader="none" w:pos="6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540"/>
          </w:cols>
          <w:pgMar w:left="880" w:top="270" w:right="479" w:bottom="1440" w:gutter="0" w:footer="0" w:header="0"/>
        </w:sectPr>
      </w:pPr>
    </w:p>
    <w:bookmarkStart w:id="19" w:name="page20"/>
    <w:bookmarkEnd w:id="1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Talat Imran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80"/>
          </w:cols>
          <w:pgMar w:left="440" w:top="270" w:right="479" w:bottom="1440" w:gutter="0" w:footer="0" w:header="0"/>
        </w:sectPr>
      </w:pPr>
    </w:p>
    <w:bookmarkStart w:id="20" w:name="page21"/>
    <w:bookmarkEnd w:id="2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RANI THERAPEUTICS HOLDINGS, INC.</w:t>
      </w:r>
    </w:p>
    <w:p>
      <w:pPr>
        <w:spacing w:after="0" w:line="117" w:lineRule="exact"/>
        <w:rPr>
          <w:sz w:val="20"/>
          <w:szCs w:val="20"/>
          <w:color w:val="auto"/>
        </w:rPr>
      </w:pPr>
    </w:p>
    <w:p>
      <w:pPr>
        <w:ind w:firstLine="987"/>
        <w:spacing w:after="0" w:line="282"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ectPr>
          <w:pgSz w:w="11900" w:h="16838" w:orient="portrait"/>
          <w:cols w:equalWidth="0" w:num="1">
            <w:col w:w="10700"/>
          </w:cols>
          <w:pgMar w:left="440" w:top="266" w:right="759" w:bottom="1440" w:gutter="0" w:footer="0" w:header="0"/>
        </w:sectPr>
      </w:pP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 lawful money of the United States; or</w:t>
      </w:r>
    </w:p>
    <w:p>
      <w:pPr>
        <w:spacing w:after="0" w:line="129" w:lineRule="exact"/>
        <w:rPr>
          <w:sz w:val="20"/>
          <w:szCs w:val="20"/>
          <w:color w:val="auto"/>
        </w:rPr>
      </w:pPr>
    </w:p>
    <w:p>
      <w:pPr>
        <w:sectPr>
          <w:pgSz w:w="11900" w:h="16838" w:orient="portrait"/>
          <w:cols w:equalWidth="0" w:num="2">
            <w:col w:w="1540" w:space="120"/>
            <w:col w:w="9040"/>
          </w:cols>
          <w:pgMar w:left="440" w:top="266" w:right="7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rPr>
        <w:t>[   ] if permitted the cancellation of such number of Warrant Shares as is necessary, in accordance with the formula set forth in</w:t>
      </w:r>
    </w:p>
    <w:p>
      <w:pPr>
        <w:sectPr>
          <w:pgSz w:w="11900" w:h="16838" w:orient="portrait"/>
          <w:cols w:equalWidth="0" w:num="1">
            <w:col w:w="10700"/>
          </w:cols>
          <w:pgMar w:left="440" w:top="266" w:right="759" w:bottom="1440" w:gutter="0" w:footer="0" w:header="0"/>
          <w:type w:val="continuous"/>
        </w:sectPr>
      </w:pPr>
    </w:p>
    <w:p>
      <w:pPr>
        <w:spacing w:after="0" w:line="39" w:lineRule="exact"/>
        <w:rPr>
          <w:sz w:val="20"/>
          <w:szCs w:val="20"/>
          <w:color w:val="auto"/>
        </w:rPr>
      </w:pPr>
    </w:p>
    <w:p>
      <w:pPr>
        <w:ind w:left="1420" w:right="300"/>
        <w:spacing w:after="0" w:line="260" w:lineRule="auto"/>
        <w:rPr>
          <w:sz w:val="20"/>
          <w:szCs w:val="20"/>
          <w:color w:val="auto"/>
        </w:rPr>
      </w:pPr>
      <w:r>
        <w:rPr>
          <w:rFonts w:ascii="Times New Roman" w:cs="Times New Roman" w:eastAsia="Times New Roman" w:hAnsi="Times New Roman"/>
          <w:sz w:val="18"/>
          <w:szCs w:val="18"/>
          <w:color w:val="auto"/>
        </w:rPr>
        <w:t>subsection 2(c), 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right="1660" w:firstLine="987"/>
        <w:spacing w:after="0" w:line="955"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 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-681990</wp:posOffset>
            </wp:positionV>
            <wp:extent cx="21685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8525"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-176530</wp:posOffset>
            </wp:positionV>
            <wp:extent cx="2168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45720</wp:posOffset>
            </wp:positionV>
            <wp:extent cx="2168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268605</wp:posOffset>
            </wp:positionV>
            <wp:extent cx="2168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0</wp:posOffset>
            </wp:positionV>
            <wp:extent cx="55892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1270</wp:posOffset>
            </wp:positionV>
            <wp:extent cx="41230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0</wp:posOffset>
            </wp:positionV>
            <wp:extent cx="53149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0</wp:posOffset>
            </wp:positionV>
            <wp:extent cx="53835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835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0</wp:posOffset>
            </wp:positionV>
            <wp:extent cx="66433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43370" cy="8890"/>
                    </a:xfrm>
                    <a:prstGeom prst="rect">
                      <a:avLst/>
                    </a:prstGeom>
                    <a:noFill/>
                  </pic:spPr>
                </pic:pic>
              </a:graphicData>
            </a:graphic>
          </wp:anchor>
        </w:drawing>
      </w:r>
    </w:p>
    <w:p>
      <w:pPr>
        <w:sectPr>
          <w:pgSz w:w="11900" w:h="16838" w:orient="portrait"/>
          <w:cols w:equalWidth="0" w:num="1">
            <w:col w:w="10700"/>
          </w:cols>
          <w:pgMar w:left="440" w:top="266" w:right="759" w:bottom="1440" w:gutter="0" w:footer="0" w:header="0"/>
          <w:type w:val="continuous"/>
        </w:sectPr>
      </w:pPr>
    </w:p>
    <w:bookmarkStart w:id="21" w:name="page22"/>
    <w:bookmarkEnd w:id="21"/>
    <w:p>
      <w:pPr>
        <w:jc w:val="center"/>
        <w:ind w:right="-3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28632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28632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28632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2863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w:t>
      </w:r>
    </w:p>
    <w:p>
      <w:pPr>
        <w:sectPr>
          <w:pgSz w:w="11900" w:h="16838" w:orient="portrait"/>
          <w:cols w:equalWidth="0" w:num="1">
            <w:col w:w="10660"/>
          </w:cols>
          <w:pgMar w:left="440" w:top="270" w:right="79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91260" cy="394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912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Josh Seidenfeld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+1 650 843 5862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jseidenfeld@cooley.com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16,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700"/>
        <w:spacing w:after="0" w:line="278" w:lineRule="auto"/>
        <w:rPr>
          <w:sz w:val="20"/>
          <w:szCs w:val="20"/>
          <w:color w:val="auto"/>
        </w:rPr>
      </w:pPr>
      <w:r>
        <w:rPr>
          <w:rFonts w:ascii="Times New Roman" w:cs="Times New Roman" w:eastAsia="Times New Roman" w:hAnsi="Times New Roman"/>
          <w:sz w:val="17"/>
          <w:szCs w:val="17"/>
          <w:color w:val="auto"/>
        </w:rPr>
        <w:t>We have acted as counsel to Rani Therapeutics Holdings,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offering by the Company of (i) 4,354,000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its Class A common stock, par value $0.0001 per share (the “</w:t>
      </w:r>
      <w:r>
        <w:rPr>
          <w:rFonts w:ascii="Times New Roman" w:cs="Times New Roman" w:eastAsia="Times New Roman" w:hAnsi="Times New Roman"/>
          <w:sz w:val="17"/>
          <w:szCs w:val="17"/>
          <w:b w:val="1"/>
          <w:bCs w:val="1"/>
          <w:i w:val="1"/>
          <w:iCs w:val="1"/>
          <w:color w:val="auto"/>
        </w:rPr>
        <w:t>Class A Common Stock</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4" w:right="160" w:hanging="4"/>
        <w:spacing w:after="0" w:line="253" w:lineRule="auto"/>
        <w:tabs>
          <w:tab w:leader="none" w:pos="26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purchase up to 3,146,000 shares of Class A Common Stock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pursuant to a Registration Statement on Form S-3 (Registration Statement No. 333-266444)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base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prospectus supplement relating to the Shares, the Warrants and the Warrant Shares filed with the Commission pursuant to Rule 424(b)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(a) Registration Statement and the Prospectus, (b) the form of the Warrants to be filed as exhibits to a Current Report on Form 8-K,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9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With regard to our opinion as to the Warrants and Warrant Shares, we express no opinion to the extent that future issuances of securities of the Company, antidilution adjustments to outstanding securities of the Company or other matters cause the Pre-Funded Warrants to be exercisable for more shares of Common Stock than the number available for issuance by the Company or that the consideration paid upon exercise of the Warrants is below the par value per share of the Common Stock.</w:t>
      </w:r>
    </w:p>
    <w:p>
      <w:pPr>
        <w:spacing w:after="0" w:line="180" w:lineRule="exact"/>
        <w:rPr>
          <w:sz w:val="20"/>
          <w:szCs w:val="20"/>
          <w:color w:val="auto"/>
        </w:rPr>
      </w:pPr>
    </w:p>
    <w:p>
      <w:pPr>
        <w:ind w:left="4" w:right="38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and, as to the Warrants constituting binding obligations of the Company, the laws of the State of New York. We express no opinion to the extent that any other laws are applicable to the subject matter hereof and express no opinion and provide no assurance as to compliance with any federal or state securities law, rule or regulation.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1024"/>
          </w:cols>
          <w:pgMar w:left="436" w:top="117" w:right="43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91260" cy="394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94335"/>
                    </a:xfrm>
                    <a:prstGeom prst="rect">
                      <a:avLst/>
                    </a:prstGeom>
                    <a:noFill/>
                  </pic:spPr>
                </pic:pic>
              </a:graphicData>
            </a:graphic>
          </wp:anchor>
        </w:drawing>
        <w:t>Rani Therapeutics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16,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Two</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regard to our opinion concerning the Warrants constituting binding obligations of the Company:</w:t>
      </w:r>
    </w:p>
    <w:p>
      <w:pPr>
        <w:spacing w:after="0" w:line="117" w:lineRule="exact"/>
        <w:rPr>
          <w:sz w:val="20"/>
          <w:szCs w:val="20"/>
          <w:color w:val="auto"/>
        </w:rPr>
      </w:pPr>
    </w:p>
    <w:p>
      <w:pPr>
        <w:ind w:left="4" w:right="260" w:firstLine="436"/>
        <w:spacing w:after="0" w:line="289" w:lineRule="auto"/>
        <w:tabs>
          <w:tab w:leader="none" w:pos="65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157" w:lineRule="exact"/>
        <w:rPr>
          <w:rFonts w:ascii="Times New Roman" w:cs="Times New Roman" w:eastAsia="Times New Roman" w:hAnsi="Times New Roman"/>
          <w:sz w:val="17"/>
          <w:szCs w:val="17"/>
          <w:color w:val="auto"/>
        </w:rPr>
      </w:pPr>
    </w:p>
    <w:p>
      <w:pPr>
        <w:ind w:left="4" w:right="20" w:firstLine="436"/>
        <w:spacing w:after="0" w:line="266" w:lineRule="auto"/>
        <w:tabs>
          <w:tab w:leader="none" w:pos="70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subject to the qualification that (a) the enforceability of provisions for indemnification or limitations on liability may be limited by applicable law and by public policy considerations, and (b) the availability of specific performance, an injunction or other equitable remedies is subject to the discretion of the court before which the request is brought;</w:t>
      </w:r>
    </w:p>
    <w:p>
      <w:pPr>
        <w:spacing w:after="0" w:line="175" w:lineRule="exact"/>
        <w:rPr>
          <w:rFonts w:ascii="Times New Roman" w:cs="Times New Roman" w:eastAsia="Times New Roman" w:hAnsi="Times New Roman"/>
          <w:sz w:val="18"/>
          <w:szCs w:val="18"/>
          <w:color w:val="auto"/>
        </w:rPr>
      </w:pPr>
    </w:p>
    <w:p>
      <w:pPr>
        <w:ind w:left="4" w:firstLine="436"/>
        <w:spacing w:after="0" w:line="253" w:lineRule="auto"/>
        <w:tabs>
          <w:tab w:leader="none" w:pos="75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with respect to any provision of the Warrants that: (a) relates to the subject matter jurisdiction of any federal court of the United States of America or any federal appellate court to adjudicate any controversy related to the Warrants; (b) specifies provisions may be waived in writing, to the extent that an oral agreement or implied agreement by trade practice or course of conduct has been created that modifies such provision; (c) contains a waiver of an inconvenient forum; (d) provides for liquidated damages, default interest, late charges, monetary penalties, prepayment or make-whole payments or other economic remedies; (e) relates to advance waivers of claims, defenses, rights granted by law, or notice, opportunity for hearing, evidentiary requirements, statutes of limitations, trial by jury, service of process or procedural rights; (f) restricts non-written modifications and waivers; (g) provides for the payment of legal and other professional fees where such payment is contrary to law or public policy;</w:t>
      </w:r>
    </w:p>
    <w:p>
      <w:pPr>
        <w:spacing w:after="0" w:line="2" w:lineRule="exact"/>
        <w:rPr>
          <w:rFonts w:ascii="Times New Roman" w:cs="Times New Roman" w:eastAsia="Times New Roman" w:hAnsi="Times New Roman"/>
          <w:sz w:val="18"/>
          <w:szCs w:val="18"/>
          <w:color w:val="auto"/>
        </w:rPr>
      </w:pPr>
    </w:p>
    <w:p>
      <w:pPr>
        <w:ind w:left="4" w:right="320" w:hanging="4"/>
        <w:spacing w:after="0" w:line="260"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exclusivity, election or accumulation of rights or remedies; or (i) provides that provisions of the Warrants are severable to the extent an essential part of the agreed exchange is determined to be invalid and unenforceable; and</w:t>
      </w:r>
    </w:p>
    <w:p>
      <w:pPr>
        <w:spacing w:after="0" w:line="181"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74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whether a state court outside of the State of New York or a federal court of the United States would give effect to the choice of New York law or jurisdiction provided for in the Pre-Funded Warrants.</w:t>
      </w:r>
    </w:p>
    <w:p>
      <w:pPr>
        <w:spacing w:after="0" w:line="162" w:lineRule="exact"/>
        <w:rPr>
          <w:sz w:val="20"/>
          <w:szCs w:val="20"/>
          <w:color w:val="auto"/>
        </w:rPr>
      </w:pPr>
    </w:p>
    <w:p>
      <w:pPr>
        <w:ind w:left="4" w:right="120"/>
        <w:spacing w:after="0" w:line="276" w:lineRule="auto"/>
        <w:rPr>
          <w:sz w:val="20"/>
          <w:szCs w:val="20"/>
          <w:color w:val="auto"/>
        </w:rPr>
      </w:pPr>
      <w:r>
        <w:rPr>
          <w:rFonts w:ascii="Times New Roman" w:cs="Times New Roman" w:eastAsia="Times New Roman" w:hAnsi="Times New Roman"/>
          <w:sz w:val="17"/>
          <w:szCs w:val="17"/>
          <w:color w:val="auto"/>
        </w:rPr>
        <w:t>On the basis of the foregoing, in reliance thereon and subject to the qualifications set forth herein, we are of the opinion that (i) the Shares, when sold and issued against payment therefor as described in the Registration Statement and the Prospectus, will be validly issued, fully paid and nonassessable,</w:t>
      </w:r>
    </w:p>
    <w:p>
      <w:pPr>
        <w:spacing w:after="0" w:line="1" w:lineRule="exact"/>
        <w:rPr>
          <w:sz w:val="20"/>
          <w:szCs w:val="20"/>
          <w:color w:val="auto"/>
        </w:rPr>
      </w:pPr>
    </w:p>
    <w:p>
      <w:pPr>
        <w:ind w:left="4" w:right="460" w:hanging="4"/>
        <w:spacing w:after="0" w:line="255"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when duly executed and delivered by the Company against payment therefor as provided in the Registration Statement and the Prospectus, will be binding obligations of the Company, and (iii) the Warrant Shares, when issued and paid for in accordance with the terms of the Warrants, will be validly issued, fully paid and nonassessable.</w:t>
      </w:r>
    </w:p>
    <w:p>
      <w:pPr>
        <w:spacing w:after="0" w:line="18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0984"/>
          </w:cols>
          <w:pgMar w:left="436" w:top="999"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Rani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1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heading “Legal Matters” in the Prospectus and to the filing of this opinion as an exhibit to a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Josh Seidenfeld</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0900"/>
          </w:cols>
          <w:pgMar w:left="440" w:top="985" w:right="55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July 14, 2025, between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440" w:right="8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any day which is a federal legal holiday in the United States or any other day on which commercial banks in The City of New York are authorized or required by law or other governmental action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ectPr>
          <w:pgSz w:w="11900" w:h="16838" w:orient="portrait"/>
          <w:cols w:equalWidth="0" w:num="1">
            <w:col w:w="11020"/>
          </w:cols>
          <w:pgMar w:left="440" w:top="117" w:right="439" w:bottom="1440" w:gutter="0" w:footer="0" w:header="0"/>
        </w:sectPr>
      </w:pPr>
    </w:p>
    <w:bookmarkStart w:id="26" w:name="page27"/>
    <w:bookmarkEnd w:id="26"/>
    <w:p>
      <w:pPr>
        <w:ind w:firstLine="423"/>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hereof if this Agreement is signed on a day that is not a Trading Day or after 4:00 p.m. (New York City time) and before midnight (New York City time) on a Trading Day).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3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 par value $0.0001 per share, and any other class of securities into which such securities may hereafter be reclassified or changed.</w:t>
      </w:r>
    </w:p>
    <w:p>
      <w:pPr>
        <w:spacing w:after="0" w:line="54" w:lineRule="exact"/>
        <w:rPr>
          <w:sz w:val="20"/>
          <w:szCs w:val="20"/>
          <w:color w:val="auto"/>
        </w:rPr>
      </w:pPr>
    </w:p>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68" w:lineRule="exact"/>
        <w:rPr>
          <w:sz w:val="20"/>
          <w:szCs w:val="20"/>
          <w:color w:val="auto"/>
        </w:rPr>
      </w:pPr>
    </w:p>
    <w:p>
      <w:pPr>
        <w:ind w:right="4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10105-0302.</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right="20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securities to employees, officers, consultants or directors of the Company pursuant to any equity incentive, stock or option plan duly adopted for such purpose,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any joint venture, commercial or collaborative relationship, or the acquisition or license by the Company of the securities, businesses, property or other assets of another</w:t>
      </w:r>
    </w:p>
    <w:p>
      <w:pPr>
        <w:sectPr>
          <w:pgSz w:w="11900" w:h="16838" w:orient="portrait"/>
          <w:cols w:equalWidth="0" w:num="1">
            <w:col w:w="10540"/>
          </w:cols>
          <w:pgMar w:left="880" w:top="270" w:right="47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approved by a majority of the disinterested directors of the Company, provided that either (1) such securities are issued as “restricted securities” (as defined in Rule 144) and carry no registration rights that require or permit the filing of any registration statement in connection therewith during the prohibition period in Section 4.11(a) herein or (2) such purchaser is prohibited from selling, transferring or otherwise disposing of such securities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(d) issuances to one or more lenders in connection with the Company’s entry into a debt financing transaction, provided that such issuances shall only be in the form of warrants to purchase shares of Common Stock and carry no registration rights that require or permit the filing of any registration statement in connection therewith during the prohibition period in Section 4.11(a) herein.</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3.1(gg).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3.1(gg).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or encumbrance.</w:t>
      </w:r>
    </w:p>
    <w:p>
      <w:pPr>
        <w:spacing w:after="0" w:line="117" w:lineRule="exact"/>
        <w:rPr>
          <w:sz w:val="20"/>
          <w:szCs w:val="20"/>
          <w:color w:val="auto"/>
        </w:rPr>
      </w:pPr>
    </w:p>
    <w:p>
      <w:pPr>
        <w:ind w:right="5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the directors and officers of the Company,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ectPr>
          <w:pgSz w:w="11900" w:h="16838" w:orient="portrait"/>
          <w:cols w:equalWidth="0" w:num="1">
            <w:col w:w="10560"/>
          </w:cols>
          <w:pgMar w:left="880" w:top="270" w:right="459" w:bottom="1440" w:gutter="0" w:footer="0" w:header="0"/>
        </w:sectPr>
      </w:pPr>
    </w:p>
    <w:bookmarkStart w:id="28" w:name="page29"/>
    <w:bookmarkEnd w:id="28"/>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$0.40, subject to adjustment for reverse and forward stock splits, stock dividends, stock combinations and other similar transactions of the Common Stock that occur after the date of this Agreement, provided that the purchase price per Prefunded Warrant shall be the Per Share Purchase Price minus $0.0001.</w:t>
      </w:r>
    </w:p>
    <w:p>
      <w:pPr>
        <w:spacing w:after="0" w:line="68"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3.1(gg).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Maxim Group LLC.</w:t>
      </w:r>
    </w:p>
    <w:p>
      <w:pPr>
        <w:spacing w:after="0" w:line="117" w:lineRule="exact"/>
        <w:rPr>
          <w:sz w:val="20"/>
          <w:szCs w:val="20"/>
          <w:color w:val="auto"/>
        </w:rPr>
      </w:pPr>
    </w:p>
    <w:p>
      <w:pPr>
        <w:ind w:right="1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base prospectus filed for the Registration Statement.</w:t>
      </w:r>
    </w:p>
    <w:p>
      <w:pPr>
        <w:spacing w:after="0" w:line="117" w:lineRule="exact"/>
        <w:rPr>
          <w:sz w:val="20"/>
          <w:szCs w:val="20"/>
          <w:color w:val="auto"/>
        </w:rPr>
      </w:pPr>
    </w:p>
    <w:p>
      <w:pPr>
        <w:jc w:val="both"/>
        <w:ind w:right="3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to be filed with the Commission and delivered by the Company to each Purchaser at the Closing, including all information, documents and exhibits filed with or incorporated by reference into such supplement to the Prospectus.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117" w:lineRule="exact"/>
        <w:rPr>
          <w:sz w:val="20"/>
          <w:szCs w:val="20"/>
          <w:color w:val="auto"/>
        </w:rPr>
      </w:pPr>
    </w:p>
    <w:p>
      <w:pPr>
        <w:ind w:right="2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333-266444 which registers the sale of the Shares, the Prefunded Warrants and the Prefunded Warrant Shares to the Purchasers.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117"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ectPr>
          <w:pgSz w:w="11900" w:h="16838" w:orient="portrait"/>
          <w:cols w:equalWidth="0" w:num="1">
            <w:col w:w="10540"/>
          </w:cols>
          <w:pgMar w:left="880" w:top="270" w:right="47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Prefunded Warrants and the Prefunded Warrant Shares.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by the Commission thereunder.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117" w:lineRule="exact"/>
        <w:rPr>
          <w:sz w:val="20"/>
          <w:szCs w:val="20"/>
          <w:color w:val="auto"/>
        </w:rPr>
      </w:pPr>
    </w:p>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54" w:lineRule="exact"/>
        <w:rPr>
          <w:sz w:val="20"/>
          <w:szCs w:val="20"/>
          <w:color w:val="auto"/>
        </w:rPr>
      </w:pPr>
    </w:p>
    <w:p>
      <w:pPr>
        <w:ind w:right="8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w:t>
      </w:r>
    </w:p>
    <w:p>
      <w:pPr>
        <w:spacing w:after="0" w:line="72" w:lineRule="exact"/>
        <w:rPr>
          <w:sz w:val="20"/>
          <w:szCs w:val="20"/>
          <w:color w:val="auto"/>
        </w:rPr>
      </w:pPr>
    </w:p>
    <w:p>
      <w:pPr>
        <w:ind w:right="1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those entities set forth on Exhibit 21.1 to the Company’s Annual Report on Form 10-K for the year ended December 31, 2023 and shall, where applicable, also include any direct or indirect subsidiary of the Company formed or acquired after the date hereof.</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the Pink Open Market, OTCQB Venture Market or the OTCQX Best Market (or any successors to any of the foregoing).</w:t>
      </w:r>
    </w:p>
    <w:p>
      <w:pPr>
        <w:spacing w:after="0" w:line="68" w:lineRule="exact"/>
        <w:rPr>
          <w:sz w:val="20"/>
          <w:szCs w:val="20"/>
          <w:color w:val="auto"/>
        </w:rPr>
      </w:pPr>
    </w:p>
    <w:p>
      <w:pPr>
        <w:ind w:right="2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Lock-Up Agreement, the Prefunded Warrants, all exhibits and schedules thereto and hereto and any other documents or agreements executed in connection with the transactions contemplated hereunder.</w:t>
      </w:r>
    </w:p>
    <w:p>
      <w:pPr>
        <w:spacing w:after="0" w:line="54" w:lineRule="exact"/>
        <w:rPr>
          <w:sz w:val="20"/>
          <w:szCs w:val="20"/>
          <w:color w:val="auto"/>
        </w:rPr>
      </w:pPr>
    </w:p>
    <w:p>
      <w:pPr>
        <w:ind w:right="4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 with a mailing address of 6201 15th Avenue, Brooklyn, NY 11219, and any successor transfer agent of the Company.</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ectPr>
          <w:pgSz w:w="11900" w:h="16838" w:orient="portrait"/>
          <w:cols w:equalWidth="0" w:num="1">
            <w:col w:w="10560"/>
          </w:cols>
          <w:pgMar w:left="880" w:top="270" w:right="4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Purchasers, severally and not jointly, agree to purchase, up to an aggregate of $3,000,000 of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(as defined below), or as such Purchaser may otherwise choose, in lieu of purchasing Shares such Purchaser may elect to purchase Prefunded Warrants in lieu of Shares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of the number of shares of the Common Stock outstanding immediately after giving effect to the issuance of the Shares on the Closing Date. Each Purchaser’s Subscription Amount as set forth on the signature page hereto executed by such Purchaser shall be made available for “Delivery Versus Payment” settlement with the Company or its designees. The Company shall deliver to each Purchaser its respective Shares and Prefunded Warrants, as applicable, as determined pursuant to Section 2.2(a), and the Company and each Purchaser shall deliver the other items set forth in Section 2.2 deliverable at the Closing. Upon satisfaction of the covenants and conditions set forth in Sections 2.2 and 2.3, the Closing shall occur at the offices of EGS or such other location (including by electronic transmission) as determined by the Company. Unless otherwise directed by the Placement Agent, settlement of the Shares shall occur via “Delivery Versus Payment”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Notwithstanding anything to the contrary herein and a Purchaser’s Subscription Amount set forth on the signature pages attached hereto, the number of Shares purchased by a Purchaser (and its Affiliates) hereunder shall not, when aggregated with all other shares of Common Stock owned by such Purchaser (and its Affiliates) at such time, result in such Purchaser beneficially owning (as determined in accordance with Section 13(d) of the Exchange Act) in excess of 9.99% of the then issued and outstanding Common Stock outstanding at the Closing (the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and such</w:t>
      </w:r>
    </w:p>
    <w:p>
      <w:pPr>
        <w:sectPr>
          <w:pgSz w:w="11900" w:h="16838" w:orient="portrait"/>
          <w:cols w:equalWidth="0" w:num="1">
            <w:col w:w="11000"/>
          </w:cols>
          <w:pgMar w:left="440" w:top="266" w:right="459" w:bottom="1440" w:gutter="0" w:footer="0" w:header="0"/>
        </w:sectPr>
      </w:pPr>
    </w:p>
    <w:bookmarkStart w:id="31" w:name="page32"/>
    <w:bookmarkEnd w:id="31"/>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Purchaser’s Subscription Amount, to the extent it would otherwise exceed the Beneficial Ownership Maximum immediately prior to the Closing, shall be conditioned upon the issuance of Shares at the Closing to the other Purchasers signatory hereto. To the extent that a Purchaser’s beneficial ownership of the Shares would otherwise be deemed to exceed the Beneficial Ownership Maximum, such Purchaser’s Subscription Amount shall automatically be reduced as necessary in order to comply with this paragraph.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hereunder.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00" w:firstLine="419"/>
        <w:spacing w:after="0" w:line="282" w:lineRule="auto"/>
        <w:tabs>
          <w:tab w:leader="none" w:pos="11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indicated below), the Company shall deliver or cause to be delivered to each Purchaser the following:</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117"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4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 on Company letterhead and executed by the Chief Executive Officer or Chief Financial Officer;</w:t>
      </w:r>
    </w:p>
    <w:p>
      <w:pPr>
        <w:spacing w:after="0" w:line="53" w:lineRule="exact"/>
        <w:rPr>
          <w:rFonts w:ascii="Times New Roman" w:cs="Times New Roman" w:eastAsia="Times New Roman" w:hAnsi="Times New Roman"/>
          <w:sz w:val="18"/>
          <w:szCs w:val="18"/>
          <w:color w:val="auto"/>
        </w:rPr>
      </w:pPr>
    </w:p>
    <w:p>
      <w:pPr>
        <w:ind w:left="980" w:firstLine="408"/>
        <w:spacing w:after="0" w:line="266" w:lineRule="auto"/>
        <w:tabs>
          <w:tab w:leader="none" w:pos="16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Shares equal to such Purchaser’s Subscription Amount divided by the Per Share Purchase Price, registered in the name of such Purchaser;</w:t>
      </w:r>
    </w:p>
    <w:p>
      <w:pPr>
        <w:spacing w:after="0" w:line="67"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Purchaser of Prefunded Warrants pursuant to Section 2.1, a Prefunded Warrant registered in the name of such Purchaser to purchase up to a number of shares of Common Stock equal to the portion of such Purchaser’s Subscription Amount applicable to Prefunded Warrant, with an exercise price equal to $0.0001, subject to adjustment therein;</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duly executed Lock-Up Agreements;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as applicable, the following:</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117" w:lineRule="exact"/>
        <w:rPr>
          <w:rFonts w:ascii="Times New Roman" w:cs="Times New Roman" w:eastAsia="Times New Roman" w:hAnsi="Times New Roman"/>
          <w:sz w:val="18"/>
          <w:szCs w:val="18"/>
          <w:color w:val="auto"/>
        </w:rPr>
      </w:pPr>
    </w:p>
    <w:p>
      <w:pPr>
        <w:ind w:left="980" w:right="560" w:firstLine="408"/>
        <w:spacing w:after="0" w:line="282" w:lineRule="auto"/>
        <w:tabs>
          <w:tab w:leader="none" w:pos="164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ectPr>
          <w:pgSz w:w="11900" w:h="16838" w:orient="portrait"/>
          <w:cols w:equalWidth="0" w:num="1">
            <w:col w:w="10980"/>
          </w:cols>
          <w:pgMar w:left="440" w:top="270"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61" w:lineRule="auto"/>
        <w:tabs>
          <w:tab w:leader="none" w:pos="15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71"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7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5" w:lineRule="auto"/>
        <w:tabs>
          <w:tab w:leader="none" w:pos="163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ectPr>
          <w:pgSz w:w="11900" w:h="16838" w:orient="portrait"/>
          <w:cols w:equalWidth="0" w:num="1">
            <w:col w:w="11000"/>
          </w:cols>
          <w:pgMar w:left="440" w:top="270" w:right="459" w:bottom="1440" w:gutter="0" w:footer="0" w:header="0"/>
        </w:sectPr>
      </w:pPr>
    </w:p>
    <w:bookmarkStart w:id="33" w:name="page34"/>
    <w:bookmarkEnd w:id="33"/>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Registration Statement and the SEC Reports, the Company hereby makes the following representations and warranties to each Purchaser:</w:t>
      </w:r>
    </w:p>
    <w:p>
      <w:pPr>
        <w:spacing w:after="0" w:line="54" w:lineRule="exact"/>
        <w:rPr>
          <w:sz w:val="20"/>
          <w:szCs w:val="20"/>
          <w:color w:val="auto"/>
        </w:rPr>
      </w:pPr>
    </w:p>
    <w:p>
      <w:pPr>
        <w:ind w:left="4" w:right="260" w:hanging="4"/>
        <w:spacing w:after="0" w:line="266" w:lineRule="auto"/>
        <w:tabs>
          <w:tab w:leader="none" w:pos="2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75"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being carried on and as described in the Registration Statement, the Prospectus and the Prospectus Supplement.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9" w:lineRule="exact"/>
        <w:rPr>
          <w:rFonts w:ascii="Times New Roman" w:cs="Times New Roman" w:eastAsia="Times New Roman" w:hAnsi="Times New Roman"/>
          <w:sz w:val="18"/>
          <w:szCs w:val="18"/>
          <w:color w:val="auto"/>
        </w:rPr>
      </w:pPr>
    </w:p>
    <w:p>
      <w:pPr>
        <w:ind w:left="4" w:right="40" w:hanging="4"/>
        <w:spacing w:after="0" w:line="255" w:lineRule="auto"/>
        <w:tabs>
          <w:tab w:leader="none" w:pos="2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w:t>
      </w:r>
    </w:p>
    <w:p>
      <w:pPr>
        <w:sectPr>
          <w:pgSz w:w="11900" w:h="16838" w:orient="portrait"/>
          <w:cols w:equalWidth="0" w:num="1">
            <w:col w:w="11004"/>
          </w:cols>
          <w:pgMar w:left="436" w:top="266" w:right="459" w:bottom="1440" w:gutter="0" w:footer="0" w:header="0"/>
        </w:sectPr>
      </w:pPr>
    </w:p>
    <w:bookmarkStart w:id="34" w:name="page35"/>
    <w:bookmarkEnd w:id="34"/>
    <w:p>
      <w:pPr>
        <w:ind w:left="4"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0" w:lineRule="exact"/>
        <w:rPr>
          <w:sz w:val="20"/>
          <w:szCs w:val="20"/>
          <w:color w:val="auto"/>
        </w:rPr>
      </w:pPr>
    </w:p>
    <w:p>
      <w:pPr>
        <w:ind w:left="4" w:right="360" w:hanging="4"/>
        <w:spacing w:after="0" w:line="261"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w:t>
      </w:r>
    </w:p>
    <w:p>
      <w:pPr>
        <w:ind w:left="4" w:right="20" w:hanging="4"/>
        <w:spacing w:after="0" w:line="251"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violate any provision of the Company’s certificate of incorporation, or bylaws ,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193" w:lineRule="exact"/>
        <w:rPr>
          <w:rFonts w:ascii="Times New Roman" w:cs="Times New Roman" w:eastAsia="Times New Roman" w:hAnsi="Times New Roman"/>
          <w:sz w:val="18"/>
          <w:szCs w:val="18"/>
          <w:color w:val="auto"/>
        </w:rPr>
      </w:pPr>
    </w:p>
    <w:p>
      <w:pPr>
        <w:jc w:val="both"/>
        <w:ind w:left="4" w:right="120" w:hanging="4"/>
        <w:spacing w:after="0" w:line="272" w:lineRule="auto"/>
        <w:tabs>
          <w:tab w:leader="none" w:pos="24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Filings, Consents and Approvals</w:t>
      </w:r>
      <w:r>
        <w:rPr>
          <w:rFonts w:ascii="Times New Roman" w:cs="Times New Roman" w:eastAsia="Times New Roman" w:hAnsi="Times New Roman"/>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w:t>
      </w:r>
    </w:p>
    <w:p>
      <w:pPr>
        <w:spacing w:after="0" w:line="1" w:lineRule="exact"/>
        <w:rPr>
          <w:rFonts w:ascii="Times New Roman" w:cs="Times New Roman" w:eastAsia="Times New Roman" w:hAnsi="Times New Roman"/>
          <w:sz w:val="17"/>
          <w:szCs w:val="17"/>
          <w:color w:val="auto"/>
        </w:rPr>
      </w:pPr>
    </w:p>
    <w:p>
      <w:pPr>
        <w:ind w:left="4" w:right="100" w:hanging="4"/>
        <w:spacing w:after="0" w:line="253" w:lineRule="auto"/>
        <w:tabs>
          <w:tab w:leader="none" w:pos="2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the Prospectus Supplement, (iii) application(s) to each applicable Trading Market for the listing of the Shares and Prefunded Warrant Shares for trading thereon in the time and manner required thereby, (iv) any filings that may be required under the rules of the Financial Industry Regulatory Authority and (v)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hanging="4"/>
        <w:spacing w:after="0" w:line="255" w:lineRule="auto"/>
        <w:tabs>
          <w:tab w:leader="none" w:pos="2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When paid for and issued in accordance with this Agreement, the Prefunded Warrants will constitute valid and binding obligations of the Company, enforceable against the Company in accordance with their respective terms, except: (i) as such enforceability may be limited by bankruptcy, insolvency, reorganization or similar laws affecting the rights of creditors generally and subject to general principles of equity. The Prefunded Warrant Shares, when issued in accordance with the terms of the Prefunded Warrants, will be validly issued, fully paid and nonassessable, free and clear of all Liens imposed by the Company. The Company has reserved from its duly authorized capital stock the maximum number of shares of Common Stock issuable pursuant to this</w:t>
      </w:r>
    </w:p>
    <w:p>
      <w:pPr>
        <w:sectPr>
          <w:pgSz w:w="11900" w:h="16838" w:orient="portrait"/>
          <w:cols w:equalWidth="0" w:num="1">
            <w:col w:w="11004"/>
          </w:cols>
          <w:pgMar w:left="436" w:top="270" w:right="459" w:bottom="1440" w:gutter="0" w:footer="0" w:header="0"/>
        </w:sectPr>
      </w:pPr>
    </w:p>
    <w:bookmarkStart w:id="35" w:name="page36"/>
    <w:bookmarkEnd w:id="35"/>
    <w:p>
      <w:pPr>
        <w:ind w:left="4"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upon exercise of the Prefunded Warrants. The Company has prepared and filed the Registration Statement in conformity with the requirements of the Securities Act, which became effective on August 10,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95" w:lineRule="exact"/>
        <w:rPr>
          <w:sz w:val="20"/>
          <w:szCs w:val="20"/>
          <w:color w:val="auto"/>
        </w:rPr>
      </w:pPr>
    </w:p>
    <w:p>
      <w:pPr>
        <w:ind w:left="4" w:hanging="4"/>
        <w:spacing w:after="0" w:line="270" w:lineRule="auto"/>
        <w:tabs>
          <w:tab w:leader="none" w:pos="25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 The authorized capital stock of the Company is as set forth in the Registration Statement, the Prospectus and the Prospectus Supplement. The Company has not issued any capital stock since its most recently filed periodic report under the Exchange Act, other than (i) pursuant to the exercise of stock options under the Company’s equity incentive plans; (ii) the vesting and settlement of restricted stock units under the Company’s equity incentive plans; (iii) the issuance of shares of Common Stock to employees pursuant to the Company’s employee stock purchase plans; and</w:t>
      </w:r>
    </w:p>
    <w:p>
      <w:pPr>
        <w:spacing w:after="0" w:line="2" w:lineRule="exact"/>
        <w:rPr>
          <w:rFonts w:ascii="Times New Roman" w:cs="Times New Roman" w:eastAsia="Times New Roman" w:hAnsi="Times New Roman"/>
          <w:sz w:val="17"/>
          <w:szCs w:val="17"/>
          <w:color w:val="auto"/>
        </w:rPr>
      </w:pPr>
    </w:p>
    <w:p>
      <w:pPr>
        <w:ind w:left="4"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(iv)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w:t>
      </w:r>
    </w:p>
    <w:p>
      <w:pPr>
        <w:sectPr>
          <w:pgSz w:w="11900" w:h="16838" w:orient="portrait"/>
          <w:cols w:equalWidth="0" w:num="1">
            <w:col w:w="10984"/>
          </w:cols>
          <w:pgMar w:left="436" w:top="270" w:right="479" w:bottom="1440" w:gutter="0" w:footer="0" w:header="0"/>
        </w:sectPr>
      </w:pPr>
    </w:p>
    <w:bookmarkStart w:id="36" w:name="page37"/>
    <w:bookmarkEnd w:id="36"/>
    <w:p>
      <w:pPr>
        <w:ind w:left="4"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that have not been waived in writing.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92" w:lineRule="exact"/>
        <w:rPr>
          <w:sz w:val="20"/>
          <w:szCs w:val="20"/>
          <w:color w:val="auto"/>
        </w:rPr>
      </w:pPr>
    </w:p>
    <w:p>
      <w:pPr>
        <w:ind w:left="4" w:right="60" w:hanging="4"/>
        <w:spacing w:after="0" w:line="252"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together with the related notes,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4" w:lineRule="exact"/>
        <w:rPr>
          <w:rFonts w:ascii="Times New Roman" w:cs="Times New Roman" w:eastAsia="Times New Roman" w:hAnsi="Times New Roman"/>
          <w:sz w:val="18"/>
          <w:szCs w:val="18"/>
          <w:color w:val="auto"/>
        </w:rPr>
      </w:pPr>
    </w:p>
    <w:p>
      <w:pPr>
        <w:jc w:val="both"/>
        <w:ind w:left="4" w:hanging="4"/>
        <w:spacing w:after="0" w:line="276" w:lineRule="auto"/>
        <w:tabs>
          <w:tab w:leader="none" w:pos="21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Since the date of the latest audited financial statements included within the SEC Reports, (i) there has been no event, occurrence or development that has had or that would reasonably be expected to result in a Material Adverse Effect,</w:t>
      </w:r>
    </w:p>
    <w:p>
      <w:pPr>
        <w:jc w:val="both"/>
        <w:ind w:left="4" w:right="140" w:hanging="4"/>
        <w:spacing w:after="0" w:line="253"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w:t>
      </w:r>
    </w:p>
    <w:p>
      <w:pPr>
        <w:sectPr>
          <w:pgSz w:w="11900" w:h="16838" w:orient="portrait"/>
          <w:cols w:equalWidth="0" w:num="1">
            <w:col w:w="11004"/>
          </w:cols>
          <w:pgMar w:left="436" w:top="270" w:right="459" w:bottom="1440" w:gutter="0" w:footer="0" w:header="0"/>
        </w:sectPr>
      </w:pPr>
    </w:p>
    <w:bookmarkStart w:id="37" w:name="page38"/>
    <w:bookmarkEnd w:id="37"/>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agreements to purchase or redeem any shares of its capital stock and (v) the Company has not issued any equity securities to any officer, director or Affiliate, except pursuant to existing Company stock option plans. Except for (i) the issuance of the Securities contemplated by this Agreement, or (ii) as described in the Registration Statement and the SEC Reports, no event, liability, fact, circumstance, occurrence or development has occurred or exists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sz w:val="20"/>
          <w:szCs w:val="20"/>
          <w:color w:val="auto"/>
        </w:rPr>
      </w:pPr>
    </w:p>
    <w:p>
      <w:pPr>
        <w:ind w:left="4" w:right="100" w:hanging="4"/>
        <w:spacing w:after="0" w:line="273" w:lineRule="auto"/>
        <w:tabs>
          <w:tab w:leader="none" w:pos="21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which, if there were an unfavorable decision, would individually or in the aggregate, reasonably be expected to result in a Material Adverse Effect. None of the Actions described in the Registration Statement and the SEC Reports, (i) adversely affects or challenges the legality, validity or enforceability of any of the Transaction Documents or the Securities or (ii) could, if there were an unfavorable decision, have or reasonably be expected to result in a Material Adverse Effect. The Commission has not issued any stop order or other order suspending the effectiveness of any registration statement filed by the Company under the Securities Act.</w:t>
      </w:r>
    </w:p>
    <w:p>
      <w:pPr>
        <w:spacing w:after="0" w:line="171"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or its Subsidiaries,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ind w:left="4" w:right="60" w:hanging="4"/>
        <w:spacing w:after="0" w:line="254"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clause (i), (ii) and (iii) as would not have or reasonably be expected to result in a Material Adverse Effect.</w:t>
      </w:r>
    </w:p>
    <w:p>
      <w:pPr>
        <w:sectPr>
          <w:pgSz w:w="11900" w:h="16838" w:orient="portrait"/>
          <w:cols w:equalWidth="0" w:num="1">
            <w:col w:w="11004"/>
          </w:cols>
          <w:pgMar w:left="436" w:top="270" w:right="459" w:bottom="1440" w:gutter="0" w:footer="0" w:header="0"/>
        </w:sectPr>
      </w:pPr>
    </w:p>
    <w:bookmarkStart w:id="38" w:name="page39"/>
    <w:bookmarkEnd w:id="38"/>
    <w:p>
      <w:pPr>
        <w:ind w:left="4" w:right="20" w:hanging="4"/>
        <w:spacing w:after="0" w:line="254" w:lineRule="auto"/>
        <w:tabs>
          <w:tab w:leader="none" w:pos="3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ind w:left="4" w:right="220" w:hanging="4"/>
        <w:spacing w:after="0" w:line="261"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ind w:left="4" w:right="100" w:hanging="4"/>
        <w:spacing w:after="0" w:line="256"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to all personal property described in the Registration Statement and SEC Reports as being owned by them, in each case free and clear of all Liens, except such as are described in the Registration Statement and SEC Reports or as would not individually or in the aggregate, result in a Material Adverse Effect. The Company and the Subsidiaries do not own any real property. The property held under lease by the Company and the Subsidiaries are held by them under valid, subsisting and enforceable leases with only such exceptions with respect to any particular lease as do not interfere in any material respect with the conduct of the business of the Company or its Subsidiaries.</w:t>
      </w:r>
    </w:p>
    <w:p>
      <w:pPr>
        <w:spacing w:after="0" w:line="187" w:lineRule="exact"/>
        <w:rPr>
          <w:rFonts w:ascii="Times New Roman" w:cs="Times New Roman" w:eastAsia="Times New Roman" w:hAnsi="Times New Roman"/>
          <w:sz w:val="18"/>
          <w:szCs w:val="18"/>
          <w:color w:val="auto"/>
        </w:rPr>
      </w:pPr>
    </w:p>
    <w:p>
      <w:pPr>
        <w:ind w:left="4" w:hanging="4"/>
        <w:spacing w:after="0" w:line="255"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have rights to use, or can acquire on reasonable terms,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Neither the Company nor any Subsidiary has received, since the date of the latest audited financial statements included within the SEC Reports, a written notice of a claim or otherwise has any knowledge that the</w:t>
      </w:r>
    </w:p>
    <w:p>
      <w:pPr>
        <w:sectPr>
          <w:pgSz w:w="11900" w:h="16838" w:orient="portrait"/>
          <w:cols w:equalWidth="0" w:num="1">
            <w:col w:w="10984"/>
          </w:cols>
          <w:pgMar w:left="436" w:top="270" w:right="479" w:bottom="1440" w:gutter="0" w:footer="0" w:header="0"/>
        </w:sectPr>
      </w:pPr>
    </w:p>
    <w:bookmarkStart w:id="39" w:name="page40"/>
    <w:bookmarkEnd w:id="39"/>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 Rights violate or infringe upon the rights of any Person, except as would not have or reasonably be expected to not have a Material Adverse Effect. To the knowledge of the Company, there is no existing infringement another Person of any of the Intellectual Property Rights that would have a Material Adverse Effect.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83" w:lineRule="exact"/>
        <w:rPr>
          <w:sz w:val="20"/>
          <w:szCs w:val="20"/>
          <w:color w:val="auto"/>
        </w:rPr>
      </w:pPr>
    </w:p>
    <w:p>
      <w:pPr>
        <w:ind w:left="4" w:right="80" w:hanging="4"/>
        <w:spacing w:after="0" w:line="258"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3" w:lineRule="exact"/>
        <w:rPr>
          <w:rFonts w:ascii="Times New Roman" w:cs="Times New Roman" w:eastAsia="Times New Roman" w:hAnsi="Times New Roman"/>
          <w:sz w:val="18"/>
          <w:szCs w:val="18"/>
          <w:color w:val="auto"/>
        </w:rPr>
      </w:pPr>
    </w:p>
    <w:p>
      <w:pPr>
        <w:ind w:left="4" w:right="20" w:hanging="4"/>
        <w:spacing w:after="0" w:line="254" w:lineRule="auto"/>
        <w:tabs>
          <w:tab w:leader="none" w:pos="2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91" w:lineRule="exact"/>
        <w:rPr>
          <w:rFonts w:ascii="Times New Roman" w:cs="Times New Roman" w:eastAsia="Times New Roman" w:hAnsi="Times New Roman"/>
          <w:sz w:val="18"/>
          <w:szCs w:val="18"/>
          <w:color w:val="auto"/>
        </w:rPr>
      </w:pPr>
    </w:p>
    <w:p>
      <w:pPr>
        <w:ind w:left="4" w:hanging="4"/>
        <w:spacing w:after="0" w:line="253" w:lineRule="auto"/>
        <w:tabs>
          <w:tab w:leader="none" w:pos="2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is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has established disclosure controls and procedures (as defined in Exchange Act Rules 13a-15(e) and 15d-15(e))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as of the end of the period</w:t>
      </w:r>
    </w:p>
    <w:p>
      <w:pPr>
        <w:sectPr>
          <w:pgSz w:w="11900" w:h="16838" w:orient="portrait"/>
          <w:cols w:equalWidth="0" w:num="1">
            <w:col w:w="11004"/>
          </w:cols>
          <w:pgMar w:left="436" w:top="270" w:right="459" w:bottom="1440" w:gutter="0" w:footer="0" w:header="0"/>
        </w:sectPr>
      </w:pPr>
    </w:p>
    <w:bookmarkStart w:id="40" w:name="page41"/>
    <w:bookmarkEnd w:id="40"/>
    <w:p>
      <w:pPr>
        <w:ind w:left="4" w:right="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that have materially affected, or is reasonably likely to materially affect, the internal control over financial reporting of the Company.</w:t>
      </w:r>
    </w:p>
    <w:p>
      <w:pPr>
        <w:spacing w:after="0" w:line="183" w:lineRule="exact"/>
        <w:rPr>
          <w:sz w:val="20"/>
          <w:szCs w:val="20"/>
          <w:color w:val="auto"/>
        </w:rPr>
      </w:pPr>
    </w:p>
    <w:p>
      <w:pPr>
        <w:ind w:left="4" w:right="60" w:hanging="4"/>
        <w:spacing w:after="0" w:line="258" w:lineRule="auto"/>
        <w:tabs>
          <w:tab w:leader="none" w:pos="2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Investment Company Act of 1940, as amended.</w:t>
      </w:r>
    </w:p>
    <w:p>
      <w:pPr>
        <w:spacing w:after="0" w:line="161" w:lineRule="exact"/>
        <w:rPr>
          <w:rFonts w:ascii="Times New Roman" w:cs="Times New Roman" w:eastAsia="Times New Roman" w:hAnsi="Times New Roman"/>
          <w:sz w:val="18"/>
          <w:szCs w:val="18"/>
          <w:color w:val="auto"/>
        </w:rPr>
      </w:pPr>
    </w:p>
    <w:p>
      <w:pPr>
        <w:ind w:left="4" w:hanging="4"/>
        <w:spacing w:after="0" w:line="272" w:lineRule="auto"/>
        <w:tabs>
          <w:tab w:leader="none" w:pos="25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Listing and Maintenance Requirements</w:t>
      </w:r>
      <w:r>
        <w:rPr>
          <w:rFonts w:ascii="Times New Roman" w:cs="Times New Roman" w:eastAsia="Times New Roman" w:hAnsi="Times New Roman"/>
          <w:sz w:val="17"/>
          <w:szCs w:val="17"/>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71" w:lineRule="exact"/>
        <w:rPr>
          <w:rFonts w:ascii="Times New Roman" w:cs="Times New Roman" w:eastAsia="Times New Roman" w:hAnsi="Times New Roman"/>
          <w:sz w:val="17"/>
          <w:szCs w:val="17"/>
          <w:color w:val="auto"/>
        </w:rPr>
      </w:pPr>
    </w:p>
    <w:p>
      <w:pPr>
        <w:ind w:left="4" w:right="40" w:hanging="4"/>
        <w:spacing w:after="0" w:line="256" w:lineRule="auto"/>
        <w:tabs>
          <w:tab w:leader="none" w:pos="2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ectPr>
          <w:pgSz w:w="11900" w:h="16838" w:orient="portrait"/>
          <w:cols w:equalWidth="0" w:num="1">
            <w:col w:w="11004"/>
          </w:cols>
          <w:pgMar w:left="436" w:top="270" w:right="459" w:bottom="1440" w:gutter="0" w:footer="0" w:header="0"/>
        </w:sectPr>
      </w:pPr>
    </w:p>
    <w:bookmarkStart w:id="41" w:name="page42"/>
    <w:bookmarkEnd w:id="41"/>
    <w:p>
      <w:pPr>
        <w:ind w:left="4" w:hanging="4"/>
        <w:spacing w:after="0" w:line="254"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8" w:lineRule="exact"/>
        <w:rPr>
          <w:rFonts w:ascii="Times New Roman" w:cs="Times New Roman" w:eastAsia="Times New Roman" w:hAnsi="Times New Roman"/>
          <w:sz w:val="18"/>
          <w:szCs w:val="18"/>
          <w:color w:val="auto"/>
        </w:rPr>
      </w:pPr>
    </w:p>
    <w:p>
      <w:pPr>
        <w:ind w:left="4" w:right="60" w:hanging="4"/>
        <w:spacing w:after="0" w:line="261"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79" w:lineRule="exact"/>
        <w:rPr>
          <w:rFonts w:ascii="Times New Roman" w:cs="Times New Roman" w:eastAsia="Times New Roman" w:hAnsi="Times New Roman"/>
          <w:sz w:val="18"/>
          <w:szCs w:val="18"/>
          <w:color w:val="auto"/>
        </w:rPr>
      </w:pPr>
    </w:p>
    <w:p>
      <w:pPr>
        <w:jc w:val="both"/>
        <w:ind w:left="4" w:right="80" w:hanging="4"/>
        <w:spacing w:after="0" w:line="261" w:lineRule="auto"/>
        <w:tabs>
          <w:tab w:leader="none" w:pos="2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the Company has no knowledge of any facts or circumstances which lead it to believe that it will file for reorganization or liquidation under the bankruptcy or reorganization laws of any jurisdiction within one year from the Closing Date. Neither the Company nor any Subsidiary is in default with respect to any Indebtedness.</w:t>
      </w:r>
    </w:p>
    <w:p>
      <w:pPr>
        <w:spacing w:after="0" w:line="180" w:lineRule="exact"/>
        <w:rPr>
          <w:sz w:val="20"/>
          <w:szCs w:val="20"/>
          <w:color w:val="auto"/>
        </w:rPr>
      </w:pPr>
    </w:p>
    <w:p>
      <w:pPr>
        <w:ind w:left="4" w:hanging="4"/>
        <w:spacing w:after="0" w:line="255"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ind w:left="4" w:hanging="4"/>
        <w:spacing w:after="0" w:line="256" w:lineRule="auto"/>
        <w:tabs>
          <w:tab w:leader="none" w:pos="3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ectPr>
          <w:pgSz w:w="11900" w:h="16838" w:orient="portrait"/>
          <w:cols w:equalWidth="0" w:num="1">
            <w:col w:w="11004"/>
          </w:cols>
          <w:pgMar w:left="436" w:top="270" w:right="459" w:bottom="1440" w:gutter="0" w:footer="0" w:header="0"/>
        </w:sectPr>
      </w:pPr>
    </w:p>
    <w:bookmarkStart w:id="42" w:name="page43"/>
    <w:bookmarkEnd w:id="42"/>
    <w:p>
      <w:pPr>
        <w:ind w:left="4" w:hanging="4"/>
        <w:spacing w:after="0" w:line="266" w:lineRule="auto"/>
        <w:tabs>
          <w:tab w:leader="none" w:pos="3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Accountants</w:t>
      </w:r>
      <w:r>
        <w:rPr>
          <w:rFonts w:ascii="Times New Roman" w:cs="Times New Roman" w:eastAsia="Times New Roman" w:hAnsi="Times New Roman"/>
          <w:sz w:val="18"/>
          <w:szCs w:val="18"/>
          <w:color w:val="auto"/>
        </w:rPr>
        <w:t>. The Company’s accounting firm is Marcum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17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w:t>
      </w:r>
    </w:p>
    <w:p>
      <w:pPr>
        <w:spacing w:after="0" w:line="27" w:lineRule="exact"/>
        <w:rPr>
          <w:rFonts w:ascii="Times New Roman" w:cs="Times New Roman" w:eastAsia="Times New Roman" w:hAnsi="Times New Roman"/>
          <w:sz w:val="18"/>
          <w:szCs w:val="18"/>
          <w:color w:val="auto"/>
        </w:rPr>
      </w:pPr>
    </w:p>
    <w:p>
      <w:pPr>
        <w:ind w:left="4" w:right="8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74" w:lineRule="exact"/>
        <w:rPr>
          <w:rFonts w:ascii="Times New Roman" w:cs="Times New Roman" w:eastAsia="Times New Roman" w:hAnsi="Times New Roman"/>
          <w:sz w:val="18"/>
          <w:szCs w:val="18"/>
          <w:color w:val="auto"/>
        </w:rPr>
      </w:pPr>
    </w:p>
    <w:p>
      <w:pPr>
        <w:ind w:left="4" w:hanging="4"/>
        <w:spacing w:after="0" w:line="253" w:lineRule="auto"/>
        <w:tabs>
          <w:tab w:leader="none" w:pos="3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Prefunded Warrant Shares deliverable with respect to the Prefunded Warrants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ind w:left="4" w:right="100" w:hanging="4"/>
        <w:spacing w:after="0" w:line="258" w:lineRule="auto"/>
        <w:tabs>
          <w:tab w:leader="none" w:pos="2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ectPr>
          <w:pgSz w:w="11900" w:h="16838" w:orient="portrait"/>
          <w:cols w:equalWidth="0" w:num="1">
            <w:col w:w="11004"/>
          </w:cols>
          <w:pgMar w:left="436" w:top="270" w:right="459" w:bottom="1440" w:gutter="0" w:footer="0" w:header="0"/>
        </w:sectPr>
      </w:pPr>
    </w:p>
    <w:bookmarkStart w:id="43" w:name="page44"/>
    <w:bookmarkEnd w:id="43"/>
    <w:p>
      <w:pPr>
        <w:ind w:left="4" w:hanging="4"/>
        <w:spacing w:after="0" w:line="267" w:lineRule="auto"/>
        <w:tabs>
          <w:tab w:leader="none" w:pos="34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FDA</w:t>
      </w:r>
      <w:r>
        <w:rPr>
          <w:rFonts w:ascii="Times New Roman" w:cs="Times New Roman" w:eastAsia="Times New Roman" w:hAnsi="Times New Roman"/>
          <w:sz w:val="17"/>
          <w:szCs w:val="17"/>
          <w:color w:val="auto"/>
        </w:rPr>
        <w:t>. As to each product subject to the jurisdiction of the U.S. Food and Drug Administration (“</w:t>
      </w: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under the Federal Food, Drug and Cosmetic Act, as amended, and the regulations thereunder (“</w:t>
      </w:r>
      <w:r>
        <w:rPr>
          <w:rFonts w:ascii="Times New Roman" w:cs="Times New Roman" w:eastAsia="Times New Roman" w:hAnsi="Times New Roman"/>
          <w:sz w:val="17"/>
          <w:szCs w:val="17"/>
          <w:u w:val="single" w:color="auto"/>
          <w:color w:val="auto"/>
        </w:rPr>
        <w:t>FDCA</w:t>
      </w:r>
      <w:r>
        <w:rPr>
          <w:rFonts w:ascii="Times New Roman" w:cs="Times New Roman" w:eastAsia="Times New Roman" w:hAnsi="Times New Roman"/>
          <w:sz w:val="17"/>
          <w:szCs w:val="17"/>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7"/>
          <w:szCs w:val="17"/>
          <w:u w:val="single" w:color="auto"/>
          <w:color w:val="auto"/>
        </w:rPr>
        <w:t>Pharmaceutical Product</w:t>
      </w:r>
      <w:r>
        <w:rPr>
          <w:rFonts w:ascii="Times New Roman" w:cs="Times New Roman" w:eastAsia="Times New Roman" w:hAnsi="Times New Roman"/>
          <w:sz w:val="17"/>
          <w:szCs w:val="17"/>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respects in accordance with all applicable laws, rules and regulations of the FDA, except where the failure to be so conducted would not, individually or in the aggregate, have a Material Adverse Effect.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200" w:lineRule="exact"/>
        <w:rPr>
          <w:rFonts w:ascii="Times New Roman" w:cs="Times New Roman" w:eastAsia="Times New Roman" w:hAnsi="Times New Roman"/>
          <w:sz w:val="17"/>
          <w:szCs w:val="17"/>
          <w:color w:val="auto"/>
        </w:rPr>
      </w:pPr>
    </w:p>
    <w:p>
      <w:pPr>
        <w:spacing w:after="0" w:line="203" w:lineRule="exact"/>
        <w:rPr>
          <w:rFonts w:ascii="Times New Roman" w:cs="Times New Roman" w:eastAsia="Times New Roman" w:hAnsi="Times New Roman"/>
          <w:sz w:val="17"/>
          <w:szCs w:val="17"/>
          <w:color w:val="auto"/>
        </w:rPr>
      </w:pPr>
    </w:p>
    <w:p>
      <w:pPr>
        <w:ind w:left="4" w:right="200" w:hanging="4"/>
        <w:spacing w:after="0" w:line="253" w:lineRule="auto"/>
        <w:tabs>
          <w:tab w:leader="none" w:pos="3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have, individually or in the aggregate, a Material Adverse Effect,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ind w:left="4" w:right="380" w:hanging="4"/>
        <w:spacing w:after="0" w:line="255" w:lineRule="auto"/>
        <w:tabs>
          <w:tab w:leader="none" w:pos="3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ectPr>
          <w:pgSz w:w="11900" w:h="16838" w:orient="portrait"/>
          <w:cols w:equalWidth="0" w:num="1">
            <w:col w:w="11004"/>
          </w:cols>
          <w:pgMar w:left="436" w:top="270" w:right="459" w:bottom="1440" w:gutter="0" w:footer="0" w:header="0"/>
        </w:sectPr>
      </w:pPr>
    </w:p>
    <w:bookmarkStart w:id="44" w:name="page45"/>
    <w:bookmarkEnd w:id="44"/>
    <w:p>
      <w:pPr>
        <w:ind w:left="4" w:right="40" w:hanging="4"/>
        <w:spacing w:after="0" w:line="254" w:lineRule="auto"/>
        <w:tabs>
          <w:tab w:leader="none" w:pos="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(except where the failure to so comply in each clause</w:t>
      </w:r>
    </w:p>
    <w:p>
      <w:pPr>
        <w:spacing w:after="0" w:line="3" w:lineRule="exact"/>
        <w:rPr>
          <w:rFonts w:ascii="Times New Roman" w:cs="Times New Roman" w:eastAsia="Times New Roman" w:hAnsi="Times New Roman"/>
          <w:sz w:val="18"/>
          <w:szCs w:val="18"/>
          <w:color w:val="auto"/>
        </w:rPr>
      </w:pPr>
    </w:p>
    <w:p>
      <w:pPr>
        <w:ind w:left="4" w:right="20" w:hanging="4"/>
        <w:spacing w:after="0" w:line="251" w:lineRule="auto"/>
        <w:tabs>
          <w:tab w:leader="none" w:pos="2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(ii)would not have , individually or in the aggregate, a Material Adverse Effect.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Laws; or (iii) is a party to any order, decree, or agreement by or with any court or arbitrator or governmental or regulatory authority that imposed any obligation or liability under any Privacy Law; except in each case of clauses (i), (ii) and (iii) as would not have, individually or in the aggregate, a Material Adverse Effect.</w:t>
      </w:r>
    </w:p>
    <w:p>
      <w:pPr>
        <w:spacing w:after="0" w:line="19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3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300" w:hanging="4"/>
        <w:spacing w:after="0" w:line="282" w:lineRule="auto"/>
        <w:tabs>
          <w:tab w:leader="none" w:pos="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a Purchaser’s request.</w:t>
      </w:r>
    </w:p>
    <w:p>
      <w:pPr>
        <w:spacing w:after="0" w:line="161" w:lineRule="exact"/>
        <w:rPr>
          <w:rFonts w:ascii="Times New Roman" w:cs="Times New Roman" w:eastAsia="Times New Roman" w:hAnsi="Times New Roman"/>
          <w:sz w:val="18"/>
          <w:szCs w:val="18"/>
          <w:color w:val="auto"/>
        </w:rPr>
      </w:pPr>
    </w:p>
    <w:p>
      <w:pPr>
        <w:ind w:left="4" w:right="80" w:hanging="4"/>
        <w:spacing w:after="0" w:line="256" w:lineRule="auto"/>
        <w:tabs>
          <w:tab w:leader="none" w:pos="4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exercises a controlling influence over the management or policies of a bank or any entity that is subject to the BHCA and to regulation by the Federal Reserve.</w:t>
      </w:r>
    </w:p>
    <w:p>
      <w:pPr>
        <w:sectPr>
          <w:pgSz w:w="11900" w:h="16838" w:orient="portrait"/>
          <w:cols w:equalWidth="0" w:num="1">
            <w:col w:w="11004"/>
          </w:cols>
          <w:pgMar w:left="436" w:top="270" w:right="459" w:bottom="1440" w:gutter="0" w:footer="0" w:header="0"/>
        </w:sectPr>
      </w:pPr>
    </w:p>
    <w:bookmarkStart w:id="45" w:name="page46"/>
    <w:bookmarkEnd w:id="45"/>
    <w:p>
      <w:pPr>
        <w:ind w:left="4" w:right="240" w:hanging="4"/>
        <w:spacing w:after="0" w:line="258" w:lineRule="auto"/>
        <w:tabs>
          <w:tab w:leader="none" w:pos="3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ind w:left="4"/>
        <w:spacing w:after="0" w:line="312"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Representations and Warranties of the Purchasers</w:t>
      </w:r>
      <w:r>
        <w:rPr>
          <w:rFonts w:ascii="Times New Roman" w:cs="Times New Roman" w:eastAsia="Times New Roman" w:hAnsi="Times New Roman"/>
          <w:sz w:val="17"/>
          <w:szCs w:val="17"/>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32" w:lineRule="exact"/>
        <w:rPr>
          <w:sz w:val="20"/>
          <w:szCs w:val="20"/>
          <w:color w:val="auto"/>
        </w:rPr>
      </w:pPr>
    </w:p>
    <w:p>
      <w:pPr>
        <w:ind w:left="444" w:firstLine="419"/>
        <w:spacing w:after="0" w:line="253" w:lineRule="auto"/>
        <w:tabs>
          <w:tab w:leader="none" w:pos="11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left="444" w:right="20" w:firstLine="419"/>
        <w:spacing w:after="0" w:line="261" w:lineRule="auto"/>
        <w:tabs>
          <w:tab w:leader="none" w:pos="112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71" w:lineRule="exact"/>
        <w:rPr>
          <w:rFonts w:ascii="Times New Roman" w:cs="Times New Roman" w:eastAsia="Times New Roman" w:hAnsi="Times New Roman"/>
          <w:sz w:val="18"/>
          <w:szCs w:val="18"/>
          <w:color w:val="auto"/>
        </w:rPr>
      </w:pPr>
    </w:p>
    <w:p>
      <w:pPr>
        <w:jc w:val="both"/>
        <w:ind w:left="444" w:right="60" w:firstLine="419"/>
        <w:spacing w:after="0" w:line="266" w:lineRule="auto"/>
        <w:tabs>
          <w:tab w:leader="none" w:pos="11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Prefunded Warrants, it will be an “accredited investor” as defined in Rule 501(a)(1), (a)(2), (a)(3), (a)(7), (a)(8), (a)(9), (a)(12), or (a)(13) under the Securities Act.</w:t>
      </w:r>
    </w:p>
    <w:p>
      <w:pPr>
        <w:sectPr>
          <w:pgSz w:w="11900" w:h="16838" w:orient="portrait"/>
          <w:cols w:equalWidth="0" w:num="1">
            <w:col w:w="11004"/>
          </w:cols>
          <w:pgMar w:left="436" w:top="270" w:right="459" w:bottom="1440" w:gutter="0" w:footer="0" w:header="0"/>
        </w:sectPr>
      </w:pPr>
    </w:p>
    <w:bookmarkStart w:id="46" w:name="page47"/>
    <w:bookmarkEnd w:id="46"/>
    <w:p>
      <w:pPr>
        <w:jc w:val="both"/>
        <w:ind w:left="-419" w:right="120" w:firstLine="419"/>
        <w:spacing w:after="0" w:line="261" w:lineRule="auto"/>
        <w:tabs>
          <w:tab w:leader="none" w:pos="2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71" w:lineRule="exact"/>
        <w:rPr>
          <w:rFonts w:ascii="Times New Roman" w:cs="Times New Roman" w:eastAsia="Times New Roman" w:hAnsi="Times New Roman"/>
          <w:sz w:val="18"/>
          <w:szCs w:val="18"/>
          <w:color w:val="auto"/>
        </w:rPr>
      </w:pPr>
    </w:p>
    <w:p>
      <w:pPr>
        <w:ind w:left="-419" w:right="20" w:firstLine="419"/>
        <w:spacing w:after="0" w:line="253" w:lineRule="auto"/>
        <w:tabs>
          <w:tab w:leader="none" w:pos="2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the Registration Statement, the Prospectus, the Prospectus Supplement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79" w:lineRule="exact"/>
        <w:rPr>
          <w:rFonts w:ascii="Times New Roman" w:cs="Times New Roman" w:eastAsia="Times New Roman" w:hAnsi="Times New Roman"/>
          <w:sz w:val="18"/>
          <w:szCs w:val="18"/>
          <w:color w:val="auto"/>
        </w:rPr>
      </w:pPr>
    </w:p>
    <w:p>
      <w:pPr>
        <w:ind w:left="-419" w:firstLine="419"/>
        <w:spacing w:after="0" w:line="252" w:lineRule="auto"/>
        <w:tabs>
          <w:tab w:leader="none" w:pos="2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communication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ectPr>
          <w:pgSz w:w="11900" w:h="16838" w:orient="portrait"/>
          <w:cols w:equalWidth="0" w:num="1">
            <w:col w:w="10141"/>
          </w:cols>
          <w:pgMar w:left="1299" w:top="270" w:right="459" w:bottom="1440" w:gutter="0" w:footer="0" w:header="0"/>
        </w:sectPr>
      </w:pPr>
    </w:p>
    <w:bookmarkStart w:id="47" w:name="page48"/>
    <w:bookmarkEnd w:id="4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earliest of the time that (i) no Purchaser owns Securities or (ii) the Prefunded Warrants have expired, the Company covenants to use reasonable best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ectPr>
          <w:pgSz w:w="11900" w:h="16838" w:orient="portrait"/>
          <w:cols w:equalWidth="0" w:num="1">
            <w:col w:w="11000"/>
          </w:cols>
          <w:pgMar w:left="440" w:top="270" w:right="459" w:bottom="1440" w:gutter="0" w:footer="0" w:header="0"/>
        </w:sectPr>
      </w:pPr>
    </w:p>
    <w:bookmarkStart w:id="48" w:name="page49"/>
    <w:bookmarkEnd w:id="48"/>
    <w:p>
      <w:pPr>
        <w:ind w:left="4" w:right="6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Times New Roman" w:cs="Times New Roman" w:eastAsia="Times New Roman" w:hAnsi="Times New Roman"/>
          <w:sz w:val="17"/>
          <w:szCs w:val="17"/>
          <w:u w:val="single" w:color="auto"/>
          <w:color w:val="auto"/>
        </w:rPr>
        <w:t>Securities Laws Disclosure; Publicity</w:t>
      </w:r>
      <w:r>
        <w:rPr>
          <w:rFonts w:ascii="Times New Roman" w:cs="Times New Roman" w:eastAsia="Times New Roman" w:hAnsi="Times New Roman"/>
          <w:sz w:val="17"/>
          <w:szCs w:val="17"/>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authorized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and to its knowledge,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w:t>
      </w:r>
    </w:p>
    <w:p>
      <w:pPr>
        <w:spacing w:after="0" w:line="8" w:lineRule="exact"/>
        <w:rPr>
          <w:sz w:val="20"/>
          <w:szCs w:val="20"/>
          <w:color w:val="auto"/>
        </w:rPr>
      </w:pPr>
    </w:p>
    <w:p>
      <w:pPr>
        <w:ind w:left="4" w:right="300" w:hanging="4"/>
        <w:spacing w:after="0" w:line="255" w:lineRule="auto"/>
        <w:tabs>
          <w:tab w:leader="none" w:pos="2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86"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1876425</wp:posOffset>
            </wp:positionH>
            <wp:positionV relativeFrom="paragraph">
              <wp:posOffset>-31115</wp:posOffset>
            </wp:positionV>
            <wp:extent cx="285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49" w:name="page50"/>
    <w:bookmarkEnd w:id="49"/>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Except as set forth in the Prospectus Supplement,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w:t>
      </w:r>
    </w:p>
    <w:p>
      <w:pPr>
        <w:sectPr>
          <w:pgSz w:w="11900" w:h="16838" w:orient="portrait"/>
          <w:cols w:equalWidth="0" w:num="1">
            <w:col w:w="11000"/>
          </w:cols>
          <w:pgMar w:left="440" w:top="270" w:right="459" w:bottom="1440" w:gutter="0" w:footer="0" w:header="0"/>
        </w:sectPr>
      </w:pPr>
    </w:p>
    <w:bookmarkStart w:id="50" w:name="page51"/>
    <w:bookmarkEnd w:id="50"/>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94"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spacing w:after="0" w:line="176"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of the Common Stock on the Trading Market on which it is currently listed, and concurrently with the Closing, the Company shall apply to list all of the Shares and Prefunded Warrant Shares on such Trading Market and promptly secure the listing of all of the Shares and Prefunded Warrant Shares on such Trading Market. The Company further agrees, if the Company applies to have the Common Stock traded on any other Trading Market, it will then include in such application all of the Shares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61" w:lineRule="auto"/>
        <w:tabs>
          <w:tab w:leader="none" w:pos="2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ten (10) days after the Closing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Supplement or the filing of a registration statement on Form S-8 in connection with any employee benefit plan.</w:t>
      </w:r>
    </w:p>
    <w:p>
      <w:pPr>
        <w:sectPr>
          <w:pgSz w:w="11900" w:h="16838" w:orient="portrait"/>
          <w:cols w:equalWidth="0" w:num="1">
            <w:col w:w="11004"/>
          </w:cols>
          <w:pgMar w:left="436" w:top="270" w:right="459" w:bottom="1440" w:gutter="0" w:footer="0" w:header="0"/>
        </w:sectPr>
      </w:pPr>
    </w:p>
    <w:bookmarkStart w:id="51" w:name="page52"/>
    <w:bookmarkEnd w:id="51"/>
    <w:p>
      <w:pPr>
        <w:ind w:left="4" w:right="60" w:hanging="4"/>
        <w:spacing w:after="0" w:line="253" w:lineRule="auto"/>
        <w:tabs>
          <w:tab w:leader="none" w:pos="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the date hereof until ten (10) days from the date of Closing,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provided, however, ten (10) days after the Closing Date, shares of Common Stock can be sold and issued pursuant to an existing controlled equity offering sales agreement between the Company and Cantor Fitzgerald &amp; Co. and H.C. Wainwright &amp; Co., LLC under an “at-the-market” offering program. Any Purchaser shall be entitled to obtain injunctive relief against the Company to preclude any such issuance, which remedy shall be in addition to any right to collect damages.</w:t>
      </w:r>
    </w:p>
    <w:p>
      <w:pPr>
        <w:spacing w:after="0" w:line="18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w:t>
      </w:r>
    </w:p>
    <w:p>
      <w:pPr>
        <w:spacing w:after="0" w:line="225"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w:t>
      </w:r>
    </w:p>
    <w:p>
      <w:pPr>
        <w:spacing w:after="0" w:line="5" w:lineRule="exact"/>
        <w:rPr>
          <w:sz w:val="20"/>
          <w:szCs w:val="20"/>
          <w:color w:val="auto"/>
        </w:rPr>
      </w:pPr>
    </w:p>
    <w:p>
      <w:pPr>
        <w:ind w:left="4" w:right="800"/>
        <w:spacing w:after="0" w:line="260" w:lineRule="auto"/>
        <w:rPr>
          <w:sz w:val="20"/>
          <w:szCs w:val="20"/>
          <w:color w:val="auto"/>
        </w:rPr>
      </w:pPr>
      <w:r>
        <w:rPr>
          <w:rFonts w:ascii="Times New Roman" w:cs="Times New Roman" w:eastAsia="Times New Roman" w:hAnsi="Times New Roman"/>
          <w:sz w:val="18"/>
          <w:szCs w:val="18"/>
          <w:color w:val="auto"/>
        </w:rPr>
        <w:t>transaction. Notwithstanding the foregoing and notwithstanding anything contained in this Agreement to the contrary, the Company expressly acknowledges and</w:t>
      </w:r>
    </w:p>
    <w:p>
      <w:pPr>
        <w:sectPr>
          <w:pgSz w:w="11900" w:h="16838" w:orient="portrait"/>
          <w:cols w:equalWidth="0" w:num="1">
            <w:col w:w="11004"/>
          </w:cols>
          <w:pgMar w:left="436" w:top="270" w:right="459" w:bottom="1440" w:gutter="0" w:footer="0" w:header="0"/>
        </w:sectPr>
      </w:pPr>
    </w:p>
    <w:bookmarkStart w:id="52" w:name="page53"/>
    <w:bookmarkEnd w:id="5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Prefunded Warrants set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ectPr>
          <w:pgSz w:w="11900" w:h="16838" w:orient="portrait"/>
          <w:cols w:equalWidth="0" w:num="1">
            <w:col w:w="10960"/>
          </w:cols>
          <w:pgMar w:left="440" w:top="270" w:right="499" w:bottom="1440" w:gutter="0" w:footer="0" w:header="0"/>
        </w:sectPr>
      </w:pPr>
    </w:p>
    <w:bookmarkStart w:id="53" w:name="page54"/>
    <w:bookmarkEnd w:id="5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ectPr>
          <w:pgSz w:w="11900" w:h="16838" w:orient="portrait"/>
          <w:cols w:equalWidth="0" w:num="1">
            <w:col w:w="10980"/>
          </w:cols>
          <w:pgMar w:left="440" w:top="270" w:right="479" w:bottom="1440" w:gutter="0" w:footer="0" w:header="0"/>
        </w:sectPr>
      </w:pPr>
    </w:p>
    <w:bookmarkStart w:id="54" w:name="page55"/>
    <w:bookmarkEnd w:id="54"/>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ectPr>
          <w:pgSz w:w="11900" w:h="16838" w:orient="portrait"/>
          <w:cols w:equalWidth="0" w:num="1">
            <w:col w:w="11000"/>
          </w:cols>
          <w:pgMar w:left="440" w:top="270" w:right="459" w:bottom="1440" w:gutter="0" w:footer="0" w:header="0"/>
        </w:sectPr>
      </w:pPr>
    </w:p>
    <w:bookmarkStart w:id="55" w:name="page56"/>
    <w:bookmarkEnd w:id="55"/>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unless such rescission or withdrawal would materially prejudice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ectPr>
          <w:pgSz w:w="11900" w:h="16838" w:orient="portrait"/>
          <w:cols w:equalWidth="0" w:num="1">
            <w:col w:w="10980"/>
          </w:cols>
          <w:pgMar w:left="440" w:top="270" w:right="479" w:bottom="1440" w:gutter="0" w:footer="0" w:header="0"/>
        </w:sectPr>
      </w:pPr>
    </w:p>
    <w:bookmarkStart w:id="56" w:name="page57"/>
    <w:bookmarkEnd w:id="56"/>
    <w:p>
      <w:pPr>
        <w:ind w:right="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5.16 </w:t>
      </w:r>
      <w:r>
        <w:rPr>
          <w:rFonts w:ascii="Times New Roman" w:cs="Times New Roman" w:eastAsia="Times New Roman" w:hAnsi="Times New Roman"/>
          <w:sz w:val="17"/>
          <w:szCs w:val="17"/>
          <w:u w:val="single" w:color="auto"/>
          <w:color w:val="auto"/>
        </w:rPr>
        <w:t>Payment Set Aside</w:t>
      </w:r>
      <w:r>
        <w:rPr>
          <w:rFonts w:ascii="Times New Roman" w:cs="Times New Roman" w:eastAsia="Times New Roman" w:hAnsi="Times New Roman"/>
          <w:sz w:val="17"/>
          <w:szCs w:val="17"/>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ectPr>
          <w:pgSz w:w="11900" w:h="16838" w:orient="portrait"/>
          <w:cols w:equalWidth="0" w:num="1">
            <w:col w:w="10940"/>
          </w:cols>
          <w:pgMar w:left="440" w:top="270" w:right="519" w:bottom="1440" w:gutter="0" w:footer="0" w:header="0"/>
        </w:sectPr>
      </w:pPr>
    </w:p>
    <w:bookmarkStart w:id="57" w:name="page58"/>
    <w:bookmarkEnd w:id="57"/>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ectPr>
          <w:pgSz w:w="11900" w:h="16838" w:orient="portrait"/>
          <w:cols w:equalWidth="0" w:num="1">
            <w:col w:w="10680"/>
          </w:cols>
          <w:pgMar w:left="440" w:top="266" w:right="779" w:bottom="1440" w:gutter="0" w:footer="0" w:header="0"/>
        </w:sectPr>
      </w:pPr>
    </w:p>
    <w:bookmarkStart w:id="58" w:name="page59"/>
    <w:bookmarkEnd w:id="5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0"/>
        </w:trPr>
        <w:tc>
          <w:tcPr>
            <w:tcW w:w="59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5920" w:type="dxa"/>
            <w:vAlign w:val="bottom"/>
          </w:tcPr>
          <w:p>
            <w:pPr>
              <w:spacing w:after="0"/>
              <w:rPr>
                <w:sz w:val="17"/>
                <w:szCs w:val="17"/>
                <w:color w:val="auto"/>
              </w:rPr>
            </w:pPr>
          </w:p>
        </w:tc>
        <w:tc>
          <w:tcPr>
            <w:tcW w:w="174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2051 Ringwood Avenue</w:t>
            </w:r>
          </w:p>
        </w:tc>
      </w:tr>
      <w:tr>
        <w:trPr>
          <w:trHeight w:val="196"/>
        </w:trPr>
        <w:tc>
          <w:tcPr>
            <w:tcW w:w="5920" w:type="dxa"/>
            <w:vAlign w:val="bottom"/>
          </w:tcPr>
          <w:p>
            <w:pPr>
              <w:spacing w:after="0"/>
              <w:rPr>
                <w:sz w:val="17"/>
                <w:szCs w:val="17"/>
                <w:color w:val="auto"/>
              </w:rPr>
            </w:pPr>
          </w:p>
        </w:tc>
        <w:tc>
          <w:tcPr>
            <w:tcW w:w="1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San Jose, CA 95131</w:t>
            </w:r>
          </w:p>
        </w:tc>
      </w:tr>
      <w:tr>
        <w:trPr>
          <w:trHeight w:val="20"/>
        </w:trPr>
        <w:tc>
          <w:tcPr>
            <w:tcW w:w="59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Talat Imran</w:t>
            </w:r>
          </w:p>
        </w:tc>
        <w:tc>
          <w:tcPr>
            <w:tcW w:w="2760" w:type="dxa"/>
            <w:vAlign w:val="bottom"/>
          </w:tcPr>
          <w:p>
            <w:pPr>
              <w:spacing w:after="0"/>
              <w:rPr>
                <w:sz w:val="20"/>
                <w:szCs w:val="20"/>
                <w:color w:val="auto"/>
              </w:rPr>
            </w:pPr>
          </w:p>
        </w:tc>
      </w:tr>
      <w:tr>
        <w:trPr>
          <w:trHeight w:val="205"/>
        </w:trPr>
        <w:tc>
          <w:tcPr>
            <w:tcW w:w="420" w:type="dxa"/>
            <w:vAlign w:val="bottom"/>
          </w:tcPr>
          <w:p>
            <w:pPr>
              <w:spacing w:after="0"/>
              <w:rPr>
                <w:sz w:val="17"/>
                <w:szCs w:val="17"/>
                <w:color w:val="auto"/>
              </w:rPr>
            </w:pPr>
          </w:p>
        </w:tc>
        <w:tc>
          <w:tcPr>
            <w:tcW w:w="4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Talat Imran</w:t>
            </w:r>
          </w:p>
        </w:tc>
        <w:tc>
          <w:tcPr>
            <w:tcW w:w="2760" w:type="dxa"/>
            <w:vAlign w:val="bottom"/>
          </w:tcPr>
          <w:p>
            <w:pPr>
              <w:ind w:left="780"/>
              <w:spacing w:after="0" w:line="205" w:lineRule="exact"/>
              <w:rPr>
                <w:sz w:val="20"/>
                <w:szCs w:val="20"/>
                <w:color w:val="auto"/>
              </w:rPr>
            </w:pPr>
            <w:r>
              <w:rPr>
                <w:rFonts w:ascii="Times New Roman" w:cs="Times New Roman" w:eastAsia="Times New Roman" w:hAnsi="Times New Roman"/>
                <w:sz w:val="18"/>
                <w:szCs w:val="18"/>
                <w:color w:val="auto"/>
              </w:rPr>
              <w:t>E-Mail:</w:t>
            </w:r>
          </w:p>
        </w:tc>
      </w:tr>
      <w:tr>
        <w:trPr>
          <w:trHeight w:val="234"/>
        </w:trPr>
        <w:tc>
          <w:tcPr>
            <w:tcW w:w="4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27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talat@ranitherapeutics.com</w:t>
            </w:r>
          </w:p>
        </w:tc>
      </w:tr>
      <w:tr>
        <w:trPr>
          <w:trHeight w:val="45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2760" w:type="dxa"/>
            <w:vAlign w:val="bottom"/>
          </w:tcPr>
          <w:p>
            <w:pPr>
              <w:spacing w:after="0"/>
              <w:rPr>
                <w:sz w:val="24"/>
                <w:szCs w:val="24"/>
                <w:color w:val="auto"/>
              </w:rPr>
            </w:pPr>
          </w:p>
        </w:tc>
      </w:tr>
      <w:tr>
        <w:trPr>
          <w:trHeight w:val="30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Cooley LLP</w:t>
            </w:r>
          </w:p>
        </w:tc>
        <w:tc>
          <w:tcPr>
            <w:tcW w:w="2760" w:type="dxa"/>
            <w:vAlign w:val="bottom"/>
          </w:tcPr>
          <w:p>
            <w:pPr>
              <w:spacing w:after="0"/>
              <w:rPr>
                <w:sz w:val="24"/>
                <w:szCs w:val="24"/>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3175 Hanover Street</w:t>
            </w:r>
          </w:p>
        </w:tc>
        <w:tc>
          <w:tcPr>
            <w:tcW w:w="276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Palo Alto, California 94304-1130</w:t>
            </w:r>
          </w:p>
        </w:tc>
        <w:tc>
          <w:tcPr>
            <w:tcW w:w="276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John T. McKenna and Josh Seidenfeld at</w:t>
            </w:r>
          </w:p>
        </w:tc>
        <w:tc>
          <w:tcPr>
            <w:tcW w:w="2760" w:type="dxa"/>
            <w:vAlign w:val="bottom"/>
          </w:tcPr>
          <w:p>
            <w:pPr>
              <w:spacing w:after="0"/>
              <w:rPr>
                <w:sz w:val="18"/>
                <w:szCs w:val="18"/>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jmckenna@cooley.com and jseidenfeld@cooley.com</w:t>
            </w:r>
          </w:p>
        </w:tc>
        <w:tc>
          <w:tcPr>
            <w:tcW w:w="2760" w:type="dxa"/>
            <w:vAlign w:val="bottom"/>
          </w:tcPr>
          <w:p>
            <w:pPr>
              <w:spacing w:after="0"/>
              <w:rPr>
                <w:sz w:val="20"/>
                <w:szCs w:val="20"/>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ectPr>
          <w:pgSz w:w="11900" w:h="16838" w:orient="portrait"/>
          <w:cols w:equalWidth="0" w:num="1">
            <w:col w:w="10820"/>
          </w:cols>
          <w:pgMar w:left="440" w:top="270" w:right="639" w:bottom="1440" w:gutter="0" w:footer="0" w:header="0"/>
        </w:sectPr>
      </w:pPr>
    </w:p>
    <w:bookmarkStart w:id="59" w:name="page60"/>
    <w:bookmarkEnd w:id="59"/>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SIGNATURE PAGES TO RANI SECURITIES PURCHASE AGREEMENT]</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 _________________________________</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 Shares: 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25" w:lineRule="exact"/>
        <w:rPr>
          <w:sz w:val="20"/>
          <w:szCs w:val="20"/>
          <w:color w:val="auto"/>
        </w:rPr>
      </w:pPr>
    </w:p>
    <w:p>
      <w:pPr>
        <w:ind w:left="4" w:hanging="4"/>
        <w:spacing w:after="0" w:line="270" w:lineRule="auto"/>
        <w:tabs>
          <w:tab w:leader="none" w:pos="211" w:val="left"/>
        </w:tabs>
        <w:numPr>
          <w:ilvl w:val="0"/>
          <w:numId w:val="5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(1st) Trading Day following the date of this Agreement and (iii) any condition to Closing contemplated by this Agreement (but prior to being disregarded by clause</w:t>
      </w:r>
    </w:p>
    <w:p>
      <w:pPr>
        <w:spacing w:after="0" w:line="2" w:lineRule="exact"/>
        <w:rPr>
          <w:rFonts w:ascii="MS PGothic" w:cs="MS PGothic" w:eastAsia="MS PGothic" w:hAnsi="MS PGothic"/>
          <w:sz w:val="17"/>
          <w:szCs w:val="17"/>
          <w:color w:val="auto"/>
        </w:rPr>
      </w:pPr>
    </w:p>
    <w:p>
      <w:pPr>
        <w:ind w:left="4"/>
        <w:spacing w:after="0" w:line="255"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8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[SIGNATURE PAGES CONTINUE]</w:t>
      </w:r>
    </w:p>
    <w:p>
      <w:pPr>
        <w:sectPr>
          <w:pgSz w:w="11900" w:h="16838" w:orient="portrait"/>
          <w:cols w:equalWidth="0" w:num="1">
            <w:col w:w="10964"/>
          </w:cols>
          <w:pgMar w:left="436" w:top="270" w:right="49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REFUNDED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p>
    <w:p>
      <w:pPr>
        <w:sectPr>
          <w:pgSz w:w="11900" w:h="16838" w:orient="portrait"/>
          <w:cols w:equalWidth="0" w:num="1">
            <w:col w:w="9019"/>
          </w:cols>
          <w:pgMar w:left="1440" w:top="266"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OCK</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16, 2025</w:t>
      </w: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982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w w:val="99"/>
              </w:rPr>
              <w:t>Securities Purchase Agreement, dated as of July 14, 2025 (the “Purchase Agreement”), between Rani Therapeutics Holdings, Inc. (the</w:t>
            </w: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982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“Company”) and the purchasers signatory thereto (each, a “Purchaser” and, collectively, the “Purchasers”)</w:t>
            </w: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Defined terms not otherwise defined in this letter agreement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shall have the meanings set forth in the Purchase Agreement. Pursuant to Section 2.2(a) of the Purchase Agreement and in satisfaction of a condition of the Company’s obligations under the Purchase Agreement, the undersigned irrevocably agrees with the Company that, from the date hereof until forty-five (45) days after the Closing Date (such period, the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the undersigned will not offer, sell, contract to sell, hypothecate, pledge or otherwise dispose of (or enter into any transaction to effect such disposition (whether by actual disposition or effective economic disposition due to cash settlement or otherwise)),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respect to, any shares of Common Stock of the Company or securities convertible, exchangeable or exercisable into, shares of Common Stock of the Company beneficially owned, held or hereafter acquired by the undersigned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Beneficial ownership shall be calculated in accordance with Section 13(d) of the Exchange Act.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the Securities provided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(other than a filing on a Form 5 made after the expiration of the Restriction Period), and (4) neither the undersigned nor any donee, trustee, distributee or transferee, as the case may be, otherwise voluntarily effects any public filing or report regarding such transfers, with respect to transfer:</w:t>
      </w:r>
    </w:p>
    <w:p>
      <w:pPr>
        <w:spacing w:after="0" w:line="91" w:lineRule="exact"/>
        <w:rPr>
          <w:sz w:val="20"/>
          <w:szCs w:val="20"/>
          <w:color w:val="auto"/>
        </w:rPr>
      </w:pPr>
    </w:p>
    <w:p>
      <w:pPr>
        <w:ind w:left="960" w:hanging="532"/>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132" w:lineRule="exact"/>
        <w:rPr>
          <w:rFonts w:ascii="Times New Roman" w:cs="Times New Roman" w:eastAsia="Times New Roman" w:hAnsi="Times New Roman"/>
          <w:sz w:val="18"/>
          <w:szCs w:val="18"/>
          <w:color w:val="auto"/>
        </w:rPr>
      </w:pPr>
    </w:p>
    <w:p>
      <w:pPr>
        <w:ind w:left="960" w:right="200" w:hanging="532"/>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p>
      <w:pPr>
        <w:spacing w:after="0" w:line="81" w:lineRule="exact"/>
        <w:rPr>
          <w:rFonts w:ascii="Times New Roman" w:cs="Times New Roman" w:eastAsia="Times New Roman" w:hAnsi="Times New Roman"/>
          <w:sz w:val="18"/>
          <w:szCs w:val="18"/>
          <w:color w:val="auto"/>
        </w:rPr>
      </w:pPr>
    </w:p>
    <w:p>
      <w:pPr>
        <w:ind w:left="960" w:right="720" w:hanging="532"/>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corporation, partnership, limited liability company, or other business entity all of the equity holders of which consist of the undersigned and/or the immediate family of the undersigned;</w:t>
      </w:r>
    </w:p>
    <w:p>
      <w:pPr>
        <w:sectPr>
          <w:pgSz w:w="11900" w:h="16838" w:orient="portrait"/>
          <w:cols w:equalWidth="0" w:num="1">
            <w:col w:w="11000"/>
          </w:cols>
          <w:pgMar w:left="440" w:top="266" w:right="459" w:bottom="1440" w:gutter="0" w:footer="0" w:header="0"/>
        </w:sectPr>
      </w:pPr>
    </w:p>
    <w:bookmarkStart w:id="62" w:name="page63"/>
    <w:bookmarkEnd w:id="62"/>
    <w:p>
      <w:pPr>
        <w:ind w:left="532" w:right="640" w:hanging="532"/>
        <w:spacing w:after="0" w:line="266" w:lineRule="auto"/>
        <w:tabs>
          <w:tab w:leader="none" w:pos="5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p>
      <w:pPr>
        <w:spacing w:after="0" w:line="81"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trust, to the trustor, trustee or beneficiary of such trust;</w:t>
      </w:r>
    </w:p>
    <w:p>
      <w:pPr>
        <w:spacing w:after="0" w:line="130" w:lineRule="exact"/>
        <w:rPr>
          <w:rFonts w:ascii="Times New Roman" w:cs="Times New Roman" w:eastAsia="Times New Roman" w:hAnsi="Times New Roman"/>
          <w:sz w:val="18"/>
          <w:szCs w:val="18"/>
          <w:color w:val="auto"/>
        </w:rPr>
      </w:pPr>
    </w:p>
    <w:p>
      <w:pPr>
        <w:ind w:left="532" w:right="260" w:hanging="532"/>
        <w:spacing w:after="0" w:line="282" w:lineRule="auto"/>
        <w:tabs>
          <w:tab w:leader="none" w:pos="5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intestate succession to the legal representative, heir, beneficiary or a member of the immediate family of the undersigned;</w:t>
      </w:r>
    </w:p>
    <w:p>
      <w:pPr>
        <w:spacing w:after="0" w:line="67" w:lineRule="exact"/>
        <w:rPr>
          <w:rFonts w:ascii="Times New Roman" w:cs="Times New Roman" w:eastAsia="Times New Roman" w:hAnsi="Times New Roman"/>
          <w:sz w:val="18"/>
          <w:szCs w:val="18"/>
          <w:color w:val="auto"/>
        </w:rPr>
      </w:pPr>
    </w:p>
    <w:p>
      <w:pPr>
        <w:ind w:left="532" w:right="80" w:hanging="532"/>
        <w:spacing w:after="0" w:line="282" w:lineRule="auto"/>
        <w:tabs>
          <w:tab w:leader="none" w:pos="5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domestic order or negotiated divorce settlement, provided that any filing made pursuant to this clause (vii) shall be pursuant to such domestic order or divorce settlement;</w:t>
      </w:r>
    </w:p>
    <w:p>
      <w:pPr>
        <w:spacing w:after="0" w:line="67" w:lineRule="exact"/>
        <w:rPr>
          <w:rFonts w:ascii="Times New Roman" w:cs="Times New Roman" w:eastAsia="Times New Roman" w:hAnsi="Times New Roman"/>
          <w:sz w:val="18"/>
          <w:szCs w:val="18"/>
          <w:color w:val="auto"/>
        </w:rPr>
      </w:pPr>
    </w:p>
    <w:p>
      <w:pPr>
        <w:ind w:left="532" w:hanging="532"/>
        <w:spacing w:after="0" w:line="254" w:lineRule="auto"/>
        <w:tabs>
          <w:tab w:leader="none" w:pos="5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Rani Therapeutics, LLC (“</w:t>
      </w:r>
      <w:r>
        <w:rPr>
          <w:rFonts w:ascii="Times New Roman" w:cs="Times New Roman" w:eastAsia="Times New Roman" w:hAnsi="Times New Roman"/>
          <w:sz w:val="18"/>
          <w:szCs w:val="18"/>
          <w:u w:val="single" w:color="auto"/>
          <w:color w:val="auto"/>
        </w:rPr>
        <w:t>Rani LLC</w:t>
      </w:r>
      <w:r>
        <w:rPr>
          <w:rFonts w:ascii="Times New Roman" w:cs="Times New Roman" w:eastAsia="Times New Roman" w:hAnsi="Times New Roman"/>
          <w:sz w:val="18"/>
          <w:szCs w:val="18"/>
          <w:color w:val="auto"/>
        </w:rPr>
        <w:t xml:space="preserve">”) to cover taxes due upon or the consideration required in connection with the vesting, conversion or exercise of securities issued under an equity incentive plan or stock purchase plan of the Company or Rani LLC, including through the withholding of shares by, or surrender of shares to, the Company or Rani LLC pursuant to a “net” or “cashless” exercise or settlement feature,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any shares of Common Stock received by the undersigned upon any such exercise or vesting will be subject to the terms of this Letter Agreement and (B) provided that in the case of any transfer to the Company or Rani LLC pursuant to this clause (viii), any filing under Section 16(a) of the Exchange Act made during the Restriction Period shall state in the footnotes that such transfer to the Company relates to a “cashless” or “net” exercise of stock options or a tax withholding in connection with the exercise of stock options or a tax withholding in connection with the vesting of restricted stock;</w:t>
      </w:r>
    </w:p>
    <w:p>
      <w:pPr>
        <w:spacing w:after="0" w:line="97" w:lineRule="exact"/>
        <w:rPr>
          <w:rFonts w:ascii="Times New Roman" w:cs="Times New Roman" w:eastAsia="Times New Roman" w:hAnsi="Times New Roman"/>
          <w:sz w:val="18"/>
          <w:szCs w:val="18"/>
          <w:color w:val="auto"/>
        </w:rPr>
      </w:pPr>
    </w:p>
    <w:p>
      <w:pPr>
        <w:jc w:val="both"/>
        <w:ind w:left="532" w:right="300" w:hanging="532"/>
        <w:spacing w:after="0" w:line="266" w:lineRule="auto"/>
        <w:tabs>
          <w:tab w:leader="none" w:pos="5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exchanges of limited liability company interests in Rani LLC for shares of Common Stock pursuant to that certain Fifth Amended and Restated Limited Liability Company Agreement of Rani LLC dated as of August 3, 2021;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shares of Common Stock received by the undersigned upon any such exchange will be subject to the terms of this Letter Agreement; or</w:t>
      </w:r>
    </w:p>
    <w:p>
      <w:pPr>
        <w:spacing w:after="0" w:line="81" w:lineRule="exact"/>
        <w:rPr>
          <w:rFonts w:ascii="Times New Roman" w:cs="Times New Roman" w:eastAsia="Times New Roman" w:hAnsi="Times New Roman"/>
          <w:sz w:val="18"/>
          <w:szCs w:val="18"/>
          <w:color w:val="auto"/>
        </w:rPr>
      </w:pPr>
    </w:p>
    <w:p>
      <w:pPr>
        <w:ind w:left="532" w:hanging="532"/>
        <w:spacing w:after="0" w:line="254" w:lineRule="auto"/>
        <w:tabs>
          <w:tab w:leader="none" w:pos="5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 sale of shares of Common Stock underlying restricted stock units held by the undersigned that will vest during the Restriction Period and settle during the Restriction Period, but solely to the extent necessary to satisfy income tax withholding and remittance obligations in connection with the vesting or settlement of such restricted stock units that are outstanding as of the date hereof,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remaining shares issued upon vesting of such restricted stock unit shall be subject to the restrictions set forth herein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further no public disclosure or filing reporting a reduction in beneficial ownership of shares of Common Stock shall be made voluntarily during the Restriction Period, and if the undersigned is required to file a report under Section 16 of the Exchange Act reporting a reduction in beneficial ownership of shares of Common Stock during the Restriction Period, the undersigned shall include a statement in such report to the effect that such transfer relates to the circumstances described in this clause.</w:t>
      </w:r>
    </w:p>
    <w:p>
      <w:pPr>
        <w:sectPr>
          <w:pgSz w:w="11900" w:h="16838" w:orient="portrait"/>
          <w:cols w:equalWidth="0" w:num="1">
            <w:col w:w="10512"/>
          </w:cols>
          <w:pgMar w:left="868" w:top="270" w:right="519" w:bottom="1440" w:gutter="0" w:footer="0" w:header="0"/>
        </w:sectPr>
      </w:pPr>
    </w:p>
    <w:bookmarkStart w:id="63" w:name="page64"/>
    <w:bookmarkEnd w:id="63"/>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notwithstanding the foregoing, this Letter Agreement shall not restrict the delivery of shares of Common Stock to the undersigned upon (i) exercise of any options granted under any employee benefit plan of the Company; provided that any shares of Common Stock or Securities acquired in connection with any such exercise will be subject to the restrictions set forth in this Letter Agreement, or (ii) the exercise of warrants; provided that such shares of Common Stock delivered to the undersigned in connection with such exercise are subject to the restrictions set forth in this Letter Agreement.</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Furthermore, the undersigned may enter into any new plan established in compliance with Rule 10b5-1 of the Exchange Act; provided that (i) any filing under Section 16(a) or Section 13 of the Exchange Act, or other public filing, report or announcement shall indicate that such trading plan is subject to the terms of this Letter Agreement and (ii) no sale of shares of Common Stock are made pursuant to such plan during the Restriction Period.</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Furthermore, no provision in this Letter Agreement shall be deemed to restrict or prohibit (1) the transfer of the undersigned’s Securities to the Company in connection with the termination of the undersigned’s employment or service with the Company or pursuant to contractual arrangements under which the Company has the option to repurchase such shares or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public filing, report or announcement shall be voluntarily made, and if any filing under Section 16(a) or Section 13 of the Exchange Act, or other public filing, report or announcement reporting a reduction in beneficial ownership of shares of Common Stock in connection with such transfer or distribution shall be legally required, such filing, report or announcement shall clearly indicate in the footnotes thereto the nature and conditions of such transfer, (2) the exercise, vesting or settlement (including sell-to-cover for taxes associated with the exercise or vesting), as applicable, by the undersigned of any option to purchase any shares of Common Stock or other equity awards pursuant to any stock incentive plan or stock purchase plan of the Company described in the Company’s public filings,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remaining underlying shares of Common Stock shall continue to be subject to the restrictions on transfer set forth in this Letter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filing under Section 16(a) or Section 13 of the Exchange Act made during the Restriction Period related to a sell-to-cover for taxes associated with the exercise or vesting shall specify in the footnotes of the filing as such, or (3) the transfer of shares of Securities pursuant to a bona fide third-party tender offer for securities of the Company, made to all holders of the Company’s capital stock involving a change of control (as defined below), provided that all of the undersigned’s Securities subject to this Letter Agreement that are not so transferred, sold, tendered or otherwise disposed of remain subject to this Letter Agreement, and provided, further, that it shall be a condition of the transfer that if the tender offer, merger, consolidation or other such transaction is not completed, the undersigned’s Securities subject to this Letter Agreement shall remain subject to the restrictions herein. For purposes of this Letter Agreement, “change of control” means any bona fide third party tender offer, merger, consolidation or other similar transaction, in one transaction or a series of related transactions approved by the board of directors of the Company, the result of which is that any “person” (as defined in Section 13(d)(3) of the Exchange Act), or group of affiliated persons, other than the Company, becomes the beneficial owner (as defined in Rules 13d-3 and 13d-5 of the Exchange Act) of at least a majority of the total outstanding voting power of the voting stock of the Company (or the surviving entity).</w:t>
      </w:r>
    </w:p>
    <w:p>
      <w:pPr>
        <w:sectPr>
          <w:pgSz w:w="11900" w:h="16838" w:orient="portrait"/>
          <w:cols w:equalWidth="0" w:num="1">
            <w:col w:w="10960"/>
          </w:cols>
          <w:pgMar w:left="440" w:top="270" w:right="499" w:bottom="1440" w:gutter="0" w:footer="0" w:header="0"/>
        </w:sectPr>
      </w:pPr>
    </w:p>
    <w:bookmarkStart w:id="64" w:name="page65"/>
    <w:bookmarkEnd w:id="64"/>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acknowledges that the execution, delivery and performance of this Letter Agreement is a material inducement to the Company to complete the transactions contemplated by the Purchase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Purchase Agreement.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Purchase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any Purchaser and that no Purchaser is entitled to cast any votes on the matters herein contemplated and that no issuance or sale of the Securities is created or intended by virtue of this Letter Agreement.</w:t>
      </w:r>
    </w:p>
    <w:p>
      <w:pPr>
        <w:spacing w:after="0" w:line="187"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This Letter Agreement shall be binding on successors and assigns of the undersigned with respect to the Securities and any such successor or assign shall enter into a similar agreement for the benefit of the Company. This Letter Agreement is intended for the benefit of the parties hereto and their respective successors and permitted assigns and is not for the benefit of, nor may any provision hereof be enforced by, any other Person.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SIGNATURE PAGE FOLLOWS***</w:t>
      </w:r>
    </w:p>
    <w:p>
      <w:pPr>
        <w:sectPr>
          <w:pgSz w:w="11900" w:h="16838" w:orient="portrait"/>
          <w:cols w:equalWidth="0" w:num="1">
            <w:col w:w="10980"/>
          </w:cols>
          <w:pgMar w:left="440" w:top="270" w:right="479" w:bottom="1440" w:gutter="0" w:footer="0" w:header="0"/>
        </w:sectPr>
      </w:pPr>
    </w:p>
    <w:bookmarkStart w:id="65" w:name="page66"/>
    <w:bookmarkEnd w:id="6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Agreement may be executed in two or more counterparts, all of which when taken together may be considered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268605</wp:posOffset>
            </wp:positionV>
            <wp:extent cx="27946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in Company, if 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279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By signing below, the Company agrees to enforce the restrictions on transfer set forth in this Letter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0500"/>
      </w:cols>
      <w:pgMar w:left="440" w:top="270"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Letter"/>
      <w:start w:val="1"/>
    </w:lvl>
  </w:abstractNum>
  <w:abstractNum w:abstractNumId="2">
    <w:nsid w:val="8138641"/>
    <w:multiLevelType w:val="hybridMultilevel"/>
    <w:lvl w:ilvl="0">
      <w:lvlJc w:val="left"/>
      <w:lvlText w:val="%1)"/>
      <w:numFmt w:val="lowerLetter"/>
      <w:start w:val="3"/>
    </w:lvl>
  </w:abstractNum>
  <w:abstractNum w:abstractNumId="3">
    <w:nsid w:val="1E7FF521"/>
    <w:multiLevelType w:val="hybridMultilevel"/>
    <w:lvl w:ilvl="0">
      <w:lvlJc w:val="left"/>
      <w:lvlText w:val="%1)"/>
      <w:numFmt w:val="lowerLetter"/>
      <w:start w:val="4"/>
    </w:lvl>
    <w:lvl w:ilvl="1">
      <w:lvlJc w:val="left"/>
      <w:lvlText w:val="%2."/>
      <w:numFmt w:val="lowerRoman"/>
      <w:start w:val="1"/>
    </w:lvl>
  </w:abstractNum>
  <w:abstractNum w:abstractNumId="4">
    <w:nsid w:val="7C3DBD3D"/>
    <w:multiLevelType w:val="hybridMultilevel"/>
    <w:lvl w:ilvl="0">
      <w:lvlJc w:val="left"/>
      <w:lvlText w:val="%1."/>
      <w:numFmt w:val="lowerRoman"/>
      <w:start w:val="3"/>
    </w:lvl>
  </w:abstractNum>
  <w:abstractNum w:abstractNumId="5">
    <w:nsid w:val="737B8DD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6">
    <w:nsid w:val="6CEAF087"/>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7">
    <w:nsid w:val="22221A70"/>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Letter"/>
      <w:start w:val="2"/>
    </w:lvl>
  </w:abstractNum>
  <w:abstractNum w:abstractNumId="10">
    <w:nsid w:val="614FD4A1"/>
    <w:multiLevelType w:val="hybridMultilevel"/>
    <w:lvl w:ilvl="0">
      <w:lvlJc w:val="left"/>
      <w:lvlText w:val="%1)"/>
      <w:numFmt w:val="lowerLetter"/>
      <w:start w:val="4"/>
    </w:lvl>
  </w:abstractNum>
  <w:abstractNum w:abstractNumId="11">
    <w:nsid w:val="419AC241"/>
    <w:multiLevelType w:val="hybridMultilevel"/>
    <w:lvl w:ilvl="0">
      <w:lvlJc w:val="left"/>
      <w:lvlText w:val="%1)"/>
      <w:numFmt w:val="lowerLetter"/>
      <w:start w:val="5"/>
    </w:lvl>
    <w:lvl w:ilvl="1">
      <w:lvlJc w:val="left"/>
      <w:lvlText w:val="%2."/>
      <w:numFmt w:val="lowerRoman"/>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lowerLetter"/>
      <w:start w:val="2"/>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4"/>
    </w:lvl>
  </w:abstractNum>
  <w:abstractNum w:abstractNumId="16">
    <w:nsid w:val="77465F01"/>
    <w:multiLevelType w:val="hybridMultilevel"/>
    <w:lvl w:ilvl="0">
      <w:lvlJc w:val="left"/>
      <w:lvlText w:val="%1)"/>
      <w:numFmt w:val="lowerLetter"/>
      <w:start w:val="5"/>
    </w:lvl>
  </w:abstractNum>
  <w:abstractNum w:abstractNumId="17">
    <w:nsid w:val="7724C67E"/>
    <w:multiLevelType w:val="hybridMultilevel"/>
    <w:lvl w:ilvl="0">
      <w:lvlJc w:val="left"/>
      <w:lvlText w:val="%1)"/>
      <w:numFmt w:val="lowerLetter"/>
      <w:start w:val="6"/>
    </w:lvl>
  </w:abstractNum>
  <w:abstractNum w:abstractNumId="18">
    <w:nsid w:val="5C482A97"/>
    <w:multiLevelType w:val="hybridMultilevel"/>
    <w:lvl w:ilvl="0">
      <w:lvlJc w:val="left"/>
      <w:lvlText w:val="%1)"/>
      <w:numFmt w:val="lowerLetter"/>
      <w:start w:val="13"/>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3"/>
    </w:lvl>
  </w:abstractNum>
  <w:abstractNum w:abstractNumId="21">
    <w:nsid w:val="51EAD36B"/>
    <w:multiLevelType w:val="hybridMultilevel"/>
    <w:lvl w:ilvl="0">
      <w:lvlJc w:val="left"/>
      <w:lvlText w:val="(%1)"/>
      <w:numFmt w:val="lowerRoman"/>
      <w:start w:val="2"/>
    </w:lvl>
  </w:abstractNum>
  <w:abstractNum w:abstractNumId="22">
    <w:nsid w:val="2D517796"/>
    <w:multiLevelType w:val="hybridMultilevel"/>
    <w:lvl w:ilvl="0">
      <w:lvlJc w:val="left"/>
      <w:lvlText w:val="%1"/>
      <w:numFmt w:val="lowerLetter"/>
      <w:start w:val="1"/>
    </w:lvl>
    <w:lvl w:ilvl="1">
      <w:lvlJc w:val="left"/>
      <w:lvlText w:val="(%2)"/>
      <w:numFmt w:val="lowerRoman"/>
      <w:start w:val="1"/>
    </w:lvl>
  </w:abstractNum>
  <w:abstractNum w:abstractNumId="23">
    <w:nsid w:val="580BD78F"/>
    <w:multiLevelType w:val="hybridMultilevel"/>
    <w:lvl w:ilvl="0">
      <w:lvlJc w:val="left"/>
      <w:lvlText w:val="(%1)"/>
      <w:numFmt w:val="lowerLetter"/>
      <w:start w:val="8"/>
    </w:lvl>
    <w:lvl w:ilvl="1">
      <w:lvlJc w:val="left"/>
      <w:lvlText w:val="(%2)"/>
      <w:numFmt w:val="lowerRoman"/>
      <w:start w:val="4"/>
    </w:lvl>
  </w:abstractNum>
  <w:abstractNum w:abstractNumId="24">
    <w:nsid w:val="153EA438"/>
    <w:multiLevelType w:val="hybridMultilevel"/>
    <w:lvl w:ilvl="0">
      <w:lvlJc w:val="left"/>
      <w:lvlText w:val="(%1)"/>
      <w:numFmt w:val="lowerRoman"/>
      <w:start w:val="2"/>
    </w:lvl>
  </w:abstractNum>
  <w:abstractNum w:abstractNumId="25">
    <w:nsid w:val="3855585C"/>
    <w:multiLevelType w:val="hybridMultilevel"/>
    <w:lvl w:ilvl="0">
      <w:lvlJc w:val="left"/>
      <w:lvlText w:val="(%1)"/>
      <w:numFmt w:val="lowerLetter"/>
      <w:start w:val="1"/>
    </w:lvl>
    <w:lvl w:ilvl="1">
      <w:lvlJc w:val="left"/>
      <w:lvlText w:val="(%2)"/>
      <w:numFmt w:val="lowerRoman"/>
      <w:start w:val="1"/>
    </w:lvl>
  </w:abstractNum>
  <w:abstractNum w:abstractNumId="26">
    <w:nsid w:val="70A64E2A"/>
    <w:multiLevelType w:val="hybridMultilevel"/>
    <w:lvl w:ilvl="0">
      <w:lvlJc w:val="left"/>
      <w:lvlText w:val="(%1)"/>
      <w:numFmt w:val="lowerLetter"/>
      <w:start w:val="1"/>
    </w:lvl>
    <w:lvl w:ilvl="1">
      <w:lvlJc w:val="left"/>
      <w:lvlText w:val="(%2)"/>
      <w:numFmt w:val="lowerRoman"/>
      <w:start w:val="1"/>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lowerLetter"/>
      <w:start w:val="4"/>
    </w:lvl>
  </w:abstractNum>
  <w:abstractNum w:abstractNumId="29">
    <w:nsid w:val="1D4ED43B"/>
    <w:multiLevelType w:val="hybridMultilevel"/>
    <w:lvl w:ilvl="0">
      <w:lvlJc w:val="left"/>
      <w:lvlText w:val="(%1)"/>
      <w:numFmt w:val="lowerLetter"/>
      <w:start w:val="9"/>
    </w:lvl>
  </w:abstractNum>
  <w:abstractNum w:abstractNumId="30">
    <w:nsid w:val="725A06FB"/>
    <w:multiLevelType w:val="hybridMultilevel"/>
    <w:lvl w:ilvl="0">
      <w:lvlJc w:val="left"/>
      <w:lvlText w:val="(%1)"/>
      <w:numFmt w:val="lowerLetter"/>
      <w:start w:val="5"/>
    </w:lvl>
  </w:abstractNum>
  <w:abstractNum w:abstractNumId="31">
    <w:nsid w:val="2CD89A32"/>
    <w:multiLevelType w:val="hybridMultilevel"/>
    <w:lvl w:ilvl="0">
      <w:lvlJc w:val="left"/>
      <w:lvlText w:val="(%1)"/>
      <w:numFmt w:val="lowerLetter"/>
      <w:start w:val="35"/>
    </w:lvl>
  </w:abstractNum>
  <w:abstractNum w:abstractNumId="32">
    <w:nsid w:val="57E4CCAF"/>
    <w:multiLevelType w:val="hybridMultilevel"/>
    <w:lvl w:ilvl="0">
      <w:lvlJc w:val="left"/>
      <w:lvlText w:val="(%1)"/>
      <w:numFmt w:val="lowerLetter"/>
      <w:start w:val="6"/>
    </w:lvl>
  </w:abstractNum>
  <w:abstractNum w:abstractNumId="33">
    <w:nsid w:val="7A6D8D3C"/>
    <w:multiLevelType w:val="hybridMultilevel"/>
    <w:lvl w:ilvl="0">
      <w:lvlJc w:val="left"/>
      <w:lvlText w:val="(%1)"/>
      <w:numFmt w:val="lowerLetter"/>
      <w:start w:val="7"/>
    </w:lvl>
  </w:abstractNum>
  <w:abstractNum w:abstractNumId="34">
    <w:nsid w:val="4B588F54"/>
    <w:multiLevelType w:val="hybridMultilevel"/>
    <w:lvl w:ilvl="0">
      <w:lvlJc w:val="left"/>
      <w:lvlText w:val="(%1)"/>
      <w:numFmt w:val="lowerLetter"/>
      <w:start w:val="8"/>
    </w:lvl>
  </w:abstractNum>
  <w:abstractNum w:abstractNumId="35">
    <w:nsid w:val="542289EC"/>
    <w:multiLevelType w:val="hybridMultilevel"/>
    <w:lvl w:ilvl="0">
      <w:lvlJc w:val="left"/>
      <w:lvlText w:val="(%1)"/>
      <w:numFmt w:val="lowerLetter"/>
      <w:start w:val="35"/>
    </w:lvl>
  </w:abstractNum>
  <w:abstractNum w:abstractNumId="36">
    <w:nsid w:val="6DE91B18"/>
    <w:multiLevelType w:val="hybridMultilevel"/>
    <w:lvl w:ilvl="0">
      <w:lvlJc w:val="left"/>
      <w:lvlText w:val="(%1)"/>
      <w:numFmt w:val="lowerLetter"/>
      <w:start w:val="10"/>
    </w:lvl>
  </w:abstractNum>
  <w:abstractNum w:abstractNumId="37">
    <w:nsid w:val="38437FDB"/>
    <w:multiLevelType w:val="hybridMultilevel"/>
    <w:lvl w:ilvl="0">
      <w:lvlJc w:val="left"/>
      <w:lvlText w:val="(%1)"/>
      <w:numFmt w:val="lowerLetter"/>
      <w:start w:val="13"/>
    </w:lvl>
  </w:abstractNum>
  <w:abstractNum w:abstractNumId="38">
    <w:nsid w:val="7644A45C"/>
    <w:multiLevelType w:val="hybridMultilevel"/>
    <w:lvl w:ilvl="0">
      <w:lvlJc w:val="left"/>
      <w:lvlText w:val="(%1)"/>
      <w:numFmt w:val="lowerLetter"/>
      <w:start w:val="17"/>
    </w:lvl>
  </w:abstractNum>
  <w:abstractNum w:abstractNumId="39">
    <w:nsid w:val="32FFF902"/>
    <w:multiLevelType w:val="hybridMultilevel"/>
    <w:lvl w:ilvl="0">
      <w:lvlJc w:val="left"/>
      <w:lvlText w:val="(%1)"/>
      <w:numFmt w:val="lowerLetter"/>
      <w:start w:val="20"/>
    </w:lvl>
  </w:abstractNum>
  <w:abstractNum w:abstractNumId="40">
    <w:nsid w:val="684A481A"/>
    <w:multiLevelType w:val="hybridMultilevel"/>
    <w:lvl w:ilvl="0">
      <w:lvlJc w:val="left"/>
      <w:lvlText w:val="(%1)"/>
      <w:numFmt w:val="lowerLetter"/>
      <w:start w:val="24"/>
    </w:lvl>
  </w:abstractNum>
  <w:abstractNum w:abstractNumId="41">
    <w:nsid w:val="579478FE"/>
    <w:multiLevelType w:val="hybridMultilevel"/>
    <w:lvl w:ilvl="0">
      <w:lvlJc w:val="left"/>
      <w:lvlText w:val="(%1)"/>
      <w:numFmt w:val="lowerLetter"/>
      <w:start w:val="27"/>
    </w:lvl>
  </w:abstractNum>
  <w:abstractNum w:abstractNumId="42">
    <w:nsid w:val="749ABB43"/>
    <w:multiLevelType w:val="hybridMultilevel"/>
    <w:lvl w:ilvl="0">
      <w:lvlJc w:val="left"/>
      <w:lvlText w:val="(%1)"/>
      <w:numFmt w:val="lowerLetter"/>
      <w:start w:val="29"/>
    </w:lvl>
  </w:abstractNum>
  <w:abstractNum w:abstractNumId="43">
    <w:nsid w:val="3DC240FB"/>
    <w:multiLevelType w:val="hybridMultilevel"/>
    <w:lvl w:ilvl="0">
      <w:lvlJc w:val="left"/>
      <w:lvlText w:val="(%1)"/>
      <w:numFmt w:val="lowerLetter"/>
      <w:start w:val="33"/>
    </w:lvl>
  </w:abstractNum>
  <w:abstractNum w:abstractNumId="44">
    <w:nsid w:val="1BA026FA"/>
    <w:multiLevelType w:val="hybridMultilevel"/>
    <w:lvl w:ilvl="0">
      <w:lvlJc w:val="left"/>
      <w:lvlText w:val="(%1)"/>
      <w:numFmt w:val="lowerLetter"/>
      <w:start w:val="61"/>
    </w:lvl>
  </w:abstractNum>
  <w:abstractNum w:abstractNumId="45">
    <w:nsid w:val="79A1DEAA"/>
    <w:multiLevelType w:val="hybridMultilevel"/>
    <w:lvl w:ilvl="0">
      <w:lvlJc w:val="left"/>
      <w:lvlText w:val="(%1)"/>
      <w:numFmt w:val="lowerLetter"/>
      <w:start w:val="35"/>
    </w:lvl>
  </w:abstractNum>
  <w:abstractNum w:abstractNumId="46">
    <w:nsid w:val="75C6C33A"/>
    <w:multiLevelType w:val="hybridMultilevel"/>
    <w:lvl w:ilvl="0">
      <w:lvlJc w:val="left"/>
      <w:lvlText w:val="(%1)"/>
      <w:numFmt w:val="lowerLetter"/>
      <w:start w:val="9"/>
    </w:lvl>
  </w:abstractNum>
  <w:abstractNum w:abstractNumId="47">
    <w:nsid w:val="12E685FB"/>
    <w:multiLevelType w:val="hybridMultilevel"/>
    <w:lvl w:ilvl="0">
      <w:lvlJc w:val="left"/>
      <w:lvlText w:val="(%1)"/>
      <w:numFmt w:val="lowerLetter"/>
      <w:start w:val="36"/>
    </w:lvl>
  </w:abstractNum>
  <w:abstractNum w:abstractNumId="48">
    <w:nsid w:val="70C6A529"/>
    <w:multiLevelType w:val="hybridMultilevel"/>
    <w:lvl w:ilvl="0">
      <w:lvlJc w:val="left"/>
      <w:lvlText w:val="(%1)"/>
      <w:numFmt w:val="lowerLetter"/>
      <w:start w:val="40"/>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4"/>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lowerLetter"/>
      <w:start w:val="2"/>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lowerRoman"/>
      <w:start w:val="1"/>
    </w:lvl>
  </w:abstractNum>
  <w:abstractNum w:abstractNumId="56">
    <w:nsid w:val="1CF10FD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2025-07-16T13:18:47Z</dcterms:created>
  <dcterms:modified xsi:type="dcterms:W3CDTF">2025-07-16T13:18:47Z</dcterms:modified>
</cp:coreProperties>
</file>