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82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South Cone Investments Limited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Partnership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AVENIDA PRESIDENTE RIESCO 5711,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OFICINA 1603, LAS CONDES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F3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7550000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ectPr>
          <w:pgSz w:w="11900" w:h="16880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5,265,165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12,131,554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80" w:type="dxa"/>
            <w:vAlign w:val="bottom"/>
            <w:gridSpan w:val="7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South Cone Investments Limited Partnership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AVENIDA PRESIDENTE RIESCO 5711,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OFICINA 1603, LAS CONDES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F3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South Lake One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AVENIDA PRESIDENTE RIESCO 5711,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OFICINA 1603, LAS CONDES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F3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-5012055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717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5,265,165 shares of the Issuer's Class A Common Stock in a private secondary offering that was priced at the prevailing market price.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South Cone Investments Limited Partnership directly owns 100% of the issued and outstanding membership interest of South Lake One LLC.</w:t>
      </w:r>
    </w:p>
    <w:p>
      <w:pPr>
        <w:sectPr>
          <w:pgSz w:w="11900" w:h="16838" w:orient="portrait"/>
          <w:cols w:equalWidth="0" w:num="1">
            <w:col w:w="10180"/>
          </w:cols>
          <w:pgMar w:left="500" w:top="260" w:right="121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Isidoro Quiroga Cortes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Luis Felipe Correa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56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Gonzalez, Managers of South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07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Lake One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6661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Isidoro Quiroga Cortes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223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Luis Felipe Correa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5631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Gonzalez, Managers of South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0746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Lake Management LLC,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0332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Partner of South Cone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5636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Investments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0741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0101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60"/>
            <w:col w:w="1440"/>
          </w:cols>
          <w:pgMar w:left="500" w:top="260" w:right="1219" w:bottom="1440" w:gutter="0" w:footer="0" w:header="0"/>
          <w:type w:val="continuous"/>
        </w:sect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260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876412" TargetMode="External"/><Relationship Id="rId13" Type="http://schemas.openxmlformats.org/officeDocument/2006/relationships/hyperlink" Target="http://www.sec.gov/cgi-bin/browse-edgar?action=getcompany&amp;CIK=0001856725" TargetMode="External"/><Relationship Id="rId14" Type="http://schemas.openxmlformats.org/officeDocument/2006/relationships/hyperlink" Target="http://www.sec.gov/cgi-bin/browse-edgar?action=getcompany&amp;CIK=00017942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2023-12-08T15:35:54Z</dcterms:created>
  <dcterms:modified xsi:type="dcterms:W3CDTF">2023-12-08T15:35:54Z</dcterms:modified>
</cp:coreProperties>
</file>