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RANI THERAPEUTICS HOLDINGS,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2051 Ringwood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San Jose, California 95131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August 10, 2022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Abby Adams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Alan Campbell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Rani Therapeutics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 for 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333-266444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undersigned registrant hereby respectfully advises the Staff that it is withdrawing its previous request that the above-referenced Registration Statement be declared effective on Thursday, August 11, 2022. The registrant hereby undertakes to advise the Staff regarding any future acceleration request as soon as possible.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0840"/>
          </w:cols>
          <w:pgMar w:left="440" w:top="229" w:right="619" w:bottom="1440" w:gutter="0" w:footer="0" w:header="0"/>
        </w:sectPr>
      </w:pPr>
    </w:p>
    <w:bookmarkStart w:id="1" w:name="page2"/>
    <w:bookmarkEnd w:id="1"/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Rani Therapeutics Holdings, Inc.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Eric Groen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Eric Groen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General Counsel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Josh Seidenfeld, Cooley LLP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McKenna, Cooley LLP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[Signature Page to Acceleration Request]</w:t>
      </w:r>
    </w:p>
    <w:sectPr>
      <w:pgSz w:w="11900" w:h="16838" w:orient="portrait"/>
      <w:cols w:equalWidth="0" w:num="1">
        <w:col w:w="10019"/>
      </w:cols>
      <w:pgMar w:left="440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2022-09-08T23:10:59Z</dcterms:created>
  <dcterms:modified xsi:type="dcterms:W3CDTF">2022-09-08T23:10:59Z</dcterms:modified>
</cp:coreProperties>
</file>