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6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SEC Form 3</w:t>
            </w:r>
          </w:p>
        </w:tc>
        <w:tc>
          <w:tcPr>
            <w:tcW w:w="6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2000" w:type="dxa"/>
            <w:vAlign w:val="bottom"/>
          </w:tcPr>
          <w:p>
            <w:pPr>
              <w:ind w:left="58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</w:rPr>
              <w:t>FORM 3</w:t>
            </w:r>
          </w:p>
        </w:tc>
        <w:tc>
          <w:tcPr>
            <w:tcW w:w="682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UNITED STATES SECURITIES AND EXCHANGE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20" w:type="dxa"/>
            <w:vAlign w:val="bottom"/>
            <w:vMerge w:val="restart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</w:tcPr>
          <w:p>
            <w:pPr>
              <w:ind w:left="220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20" w:type="dxa"/>
            <w:vAlign w:val="bottom"/>
            <w:vMerge w:val="restart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OMB Number: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3235-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20" w:type="dxa"/>
            <w:vAlign w:val="bottom"/>
            <w:vMerge w:val="restart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INITIAL STATEMENT OF BENEFICIAL OWNERSHIP OF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0104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20" w:type="dxa"/>
            <w:vAlign w:val="bottom"/>
          </w:tcPr>
          <w:p>
            <w:pPr>
              <w:jc w:val="center"/>
              <w:ind w:left="46"/>
              <w:spacing w:after="0" w:line="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ind w:right="24"/>
              <w:spacing w:after="0" w:line="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5590540</wp:posOffset>
            </wp:positionH>
            <wp:positionV relativeFrom="paragraph">
              <wp:posOffset>-648970</wp:posOffset>
            </wp:positionV>
            <wp:extent cx="1330960" cy="9309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940"/>
        <w:spacing w:after="0" w:line="22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hours per</w:t>
      </w:r>
    </w:p>
    <w:p>
      <w:pPr>
        <w:ind w:left="8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response: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Filed pursuant to Section 16(a) of the Securities Exchange Act of 1934</w:t>
      </w: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20955</wp:posOffset>
            </wp:positionV>
            <wp:extent cx="6972300" cy="5590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559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0940"/>
          </w:cols>
          <w:pgMar w:left="480" w:top="236" w:right="479" w:bottom="0" w:gutter="0" w:footer="0" w:header="0"/>
        </w:sectPr>
      </w:pPr>
    </w:p>
    <w:p>
      <w:pPr>
        <w:spacing w:after="0" w:line="135" w:lineRule="exact"/>
        <w:rPr>
          <w:sz w:val="24"/>
          <w:szCs w:val="24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282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9"/>
              </w:rPr>
              <w:t>1. Name and Address of Reporting Person</w:t>
            </w:r>
          </w:p>
        </w:tc>
        <w:tc>
          <w:tcPr>
            <w:tcW w:w="240" w:type="dxa"/>
            <w:vAlign w:val="bottom"/>
          </w:tcPr>
          <w:p>
            <w:pPr>
              <w:jc w:val="right"/>
              <w:ind w:right="1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color w:val="auto"/>
                <w:w w:val="71"/>
              </w:rPr>
              <w:t>*</w:t>
            </w:r>
          </w:p>
        </w:tc>
        <w:tc>
          <w:tcPr>
            <w:tcW w:w="15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2. Date of Event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vMerge w:val="restart"/>
          </w:tcPr>
          <w:p>
            <w:pPr>
              <w:ind w:left="20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7"/>
              </w:rPr>
              <w:t>Requiring Statement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  <w:vMerge w:val="restart"/>
          </w:tcPr>
          <w:p>
            <w:pPr>
              <w:spacing w:after="0" w:line="256" w:lineRule="exact"/>
              <w:rPr>
                <w:rFonts w:ascii="Arial" w:cs="Arial" w:eastAsia="Arial" w:hAnsi="Arial"/>
                <w:sz w:val="24"/>
                <w:szCs w:val="24"/>
                <w:color w:val="0000EE"/>
              </w:rPr>
            </w:pPr>
            <w:hyperlink r:id="rId10">
              <w:r>
                <w:rPr>
                  <w:rFonts w:ascii="Arial" w:cs="Arial" w:eastAsia="Arial" w:hAnsi="Arial"/>
                  <w:sz w:val="24"/>
                  <w:szCs w:val="24"/>
                  <w:color w:val="0000EE"/>
                </w:rPr>
                <w:t>Farquharson Andrew</w:t>
              </w:r>
            </w:hyperlink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20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200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</w:rPr>
              <w:t>07/29/2021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0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 xml:space="preserve">3. Issuer Name 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Ticker or Trading Symbol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1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Rani Therapeutics Holdings, Inc.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RANI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29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4720" w:space="280"/>
            <w:col w:w="5940"/>
          </w:cols>
          <w:pgMar w:left="480" w:top="236" w:right="479" w:bottom="0" w:gutter="0" w:footer="0" w:header="0"/>
          <w:type w:val="continuous"/>
        </w:sectPr>
      </w:pPr>
    </w:p>
    <w:p>
      <w:pPr>
        <w:spacing w:after="0" w:line="179" w:lineRule="exact"/>
        <w:rPr>
          <w:sz w:val="24"/>
          <w:szCs w:val="24"/>
          <w:color w:val="auto"/>
        </w:rPr>
      </w:pPr>
    </w:p>
    <w:p>
      <w:pPr>
        <w:ind w:left="140"/>
        <w:spacing w:after="0"/>
        <w:tabs>
          <w:tab w:leader="none" w:pos="1140" w:val="left"/>
          <w:tab w:leader="none" w:pos="21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(Middle)</w:t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ind w:left="140" w:right="1377"/>
        <w:spacing w:after="0" w:line="3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0000FF"/>
        </w:rPr>
        <w:t>C/O RANI THERAPEUTICS LLC 2051 RINGWOOD AVE.</w:t>
      </w:r>
    </w:p>
    <w:p>
      <w:pPr>
        <w:spacing w:after="0" w:line="230" w:lineRule="exact"/>
        <w:rPr>
          <w:sz w:val="24"/>
          <w:szCs w:val="24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(Street)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69"/>
        </w:trPr>
        <w:tc>
          <w:tcPr>
            <w:tcW w:w="1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</w:rPr>
              <w:t>SAN JOSE  CA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</w:rPr>
              <w:t>95131</w:t>
            </w:r>
          </w:p>
        </w:tc>
      </w:tr>
    </w:tbl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40"/>
        <w:spacing w:after="0"/>
        <w:tabs>
          <w:tab w:leader="none" w:pos="1140" w:val="left"/>
          <w:tab w:leader="none" w:pos="21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(City)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(State)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(Zip)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3" w:right="300" w:hanging="3"/>
        <w:spacing w:after="0" w:line="229" w:lineRule="auto"/>
        <w:tabs>
          <w:tab w:leader="none" w:pos="170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Relationship of Reporting Person(s) to Issuer</w:t>
      </w:r>
    </w:p>
    <w:p>
      <w:pPr>
        <w:ind w:left="3"/>
        <w:spacing w:after="0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(Check all applicable)</w:t>
      </w:r>
    </w:p>
    <w:p>
      <w:pPr>
        <w:ind w:left="183"/>
        <w:spacing w:after="0"/>
        <w:tabs>
          <w:tab w:leader="none" w:pos="502" w:val="left"/>
          <w:tab w:leader="none" w:pos="204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10% Owner</w:t>
      </w:r>
    </w:p>
    <w:p>
      <w:pPr>
        <w:spacing w:after="0" w:line="122" w:lineRule="exact"/>
        <w:rPr>
          <w:sz w:val="24"/>
          <w:szCs w:val="24"/>
          <w:color w:val="auto"/>
        </w:rPr>
      </w:pPr>
    </w:p>
    <w:p>
      <w:pPr>
        <w:jc w:val="right"/>
        <w:spacing w:after="0"/>
        <w:tabs>
          <w:tab w:leader="none" w:pos="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Officer (give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Other (specify</w:t>
      </w:r>
    </w:p>
    <w:p>
      <w:pPr>
        <w:ind w:left="523"/>
        <w:spacing w:after="0"/>
        <w:tabs>
          <w:tab w:leader="none" w:pos="204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title 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below)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right="440" w:firstLine="9"/>
        <w:spacing w:after="0" w:line="234" w:lineRule="auto"/>
        <w:tabs>
          <w:tab w:leader="none" w:pos="167" w:val="left"/>
        </w:tabs>
        <w:numPr>
          <w:ilvl w:val="0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If Amendment, Date of Original Filed (Month/Day/Year)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0000FF"/>
        </w:rPr>
        <w:t>07/29/2021</w:t>
      </w:r>
    </w:p>
    <w:p>
      <w:pPr>
        <w:spacing w:after="0" w:line="318" w:lineRule="exact"/>
        <w:rPr>
          <w:sz w:val="24"/>
          <w:szCs w:val="24"/>
          <w:color w:val="auto"/>
        </w:rPr>
      </w:pPr>
    </w:p>
    <w:p>
      <w:pPr>
        <w:ind w:right="480" w:firstLine="9"/>
        <w:spacing w:after="0" w:line="239" w:lineRule="auto"/>
        <w:tabs>
          <w:tab w:leader="none" w:pos="167" w:val="left"/>
        </w:tabs>
        <w:numPr>
          <w:ilvl w:val="0"/>
          <w:numId w:val="3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Individual or Joint/Group Filing (Check Applicable Line)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460" w:right="340" w:hanging="304"/>
        <w:spacing w:after="0" w:line="184" w:lineRule="auto"/>
        <w:tabs>
          <w:tab w:leader="none" w:pos="460" w:val="left"/>
        </w:tabs>
        <w:numPr>
          <w:ilvl w:val="0"/>
          <w:numId w:val="4"/>
        </w:numPr>
        <w:rPr>
          <w:rFonts w:ascii="Arial" w:cs="Arial" w:eastAsia="Arial" w:hAnsi="Arial"/>
          <w:sz w:val="27"/>
          <w:szCs w:val="27"/>
          <w:color w:val="0000FF"/>
          <w:vertAlign w:val="subscript"/>
        </w:rPr>
      </w:pPr>
      <w:r>
        <w:rPr>
          <w:rFonts w:ascii="Arial" w:cs="Arial" w:eastAsia="Arial" w:hAnsi="Arial"/>
          <w:sz w:val="12"/>
          <w:szCs w:val="12"/>
          <w:color w:val="auto"/>
        </w:rPr>
        <w:t>Form filed by One Reporting Person</w:t>
      </w:r>
    </w:p>
    <w:p>
      <w:pPr>
        <w:spacing w:after="0" w:line="46" w:lineRule="exact"/>
        <w:rPr>
          <w:rFonts w:ascii="Arial" w:cs="Arial" w:eastAsia="Arial" w:hAnsi="Arial"/>
          <w:sz w:val="27"/>
          <w:szCs w:val="27"/>
          <w:color w:val="0000FF"/>
          <w:vertAlign w:val="subscript"/>
        </w:rPr>
      </w:pPr>
    </w:p>
    <w:p>
      <w:pPr>
        <w:ind w:left="460" w:right="320"/>
        <w:spacing w:after="0" w:line="239" w:lineRule="auto"/>
        <w:rPr>
          <w:rFonts w:ascii="Arial" w:cs="Arial" w:eastAsia="Arial" w:hAnsi="Arial"/>
          <w:sz w:val="27"/>
          <w:szCs w:val="27"/>
          <w:color w:val="0000FF"/>
          <w:vertAlign w:val="subscript"/>
        </w:rPr>
      </w:pPr>
      <w:r>
        <w:rPr>
          <w:rFonts w:ascii="Arial" w:cs="Arial" w:eastAsia="Arial" w:hAnsi="Arial"/>
          <w:sz w:val="15"/>
          <w:szCs w:val="15"/>
          <w:color w:val="auto"/>
        </w:rPr>
        <w:t>Form filed by More than One Reporting Person</w:t>
      </w:r>
    </w:p>
    <w:p>
      <w:pPr>
        <w:spacing w:after="0" w:line="47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4277" w:space="720"/>
            <w:col w:w="3003" w:space="260"/>
            <w:col w:w="2680"/>
          </w:cols>
          <w:pgMar w:left="480" w:top="236" w:right="479" w:bottom="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Table I - Non-Derivative Securities Beneficially Owned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3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1. Title of Security (Instr. 4)</w:t>
            </w:r>
          </w:p>
        </w:tc>
        <w:tc>
          <w:tcPr>
            <w:tcW w:w="3400" w:type="dxa"/>
            <w:vAlign w:val="bottom"/>
          </w:tcPr>
          <w:p>
            <w:pPr>
              <w:ind w:left="1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2. Amount of Securities</w:t>
            </w:r>
          </w:p>
        </w:tc>
        <w:tc>
          <w:tcPr>
            <w:tcW w:w="12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3. Ownership</w:t>
            </w:r>
          </w:p>
        </w:tc>
        <w:tc>
          <w:tcPr>
            <w:tcW w:w="28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4. Nature of Indirect Beneficial</w:t>
            </w:r>
          </w:p>
        </w:tc>
      </w:tr>
      <w:tr>
        <w:trPr>
          <w:trHeight w:val="165"/>
        </w:trPr>
        <w:tc>
          <w:tcPr>
            <w:tcW w:w="3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4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Beneficially Owned (Instr.</w:t>
            </w:r>
          </w:p>
        </w:tc>
        <w:tc>
          <w:tcPr>
            <w:tcW w:w="1220" w:type="dxa"/>
            <w:vAlign w:val="bottom"/>
          </w:tcPr>
          <w:p>
            <w:pPr>
              <w:ind w:left="14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2860" w:type="dxa"/>
            <w:vAlign w:val="bottom"/>
          </w:tcPr>
          <w:p>
            <w:pPr>
              <w:ind w:left="10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Ownership (Instr. 5)</w:t>
            </w:r>
          </w:p>
        </w:tc>
      </w:tr>
      <w:tr>
        <w:trPr>
          <w:trHeight w:val="165"/>
        </w:trPr>
        <w:tc>
          <w:tcPr>
            <w:tcW w:w="3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4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4)</w:t>
            </w:r>
          </w:p>
        </w:tc>
        <w:tc>
          <w:tcPr>
            <w:tcW w:w="1220" w:type="dxa"/>
            <w:vAlign w:val="bottom"/>
          </w:tcPr>
          <w:p>
            <w:pPr>
              <w:ind w:left="14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98"/>
        </w:trPr>
        <w:tc>
          <w:tcPr>
            <w:tcW w:w="3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(I) (Instr. 5)</w:t>
            </w: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56"/>
        </w:trPr>
        <w:tc>
          <w:tcPr>
            <w:tcW w:w="3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5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</w:rPr>
              <w:t>Class A Common Stock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49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  <w:w w:val="84"/>
              </w:rPr>
              <w:t>829,435</w:t>
            </w:r>
            <w:r>
              <w:rPr>
                <w:rFonts w:ascii="Arial" w:cs="Arial" w:eastAsia="Arial" w:hAnsi="Arial"/>
                <w:sz w:val="25"/>
                <w:szCs w:val="25"/>
                <w:color w:val="008000"/>
                <w:w w:val="84"/>
                <w:vertAlign w:val="superscript"/>
              </w:rPr>
              <w:t>(1)</w:t>
            </w: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8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</w:rPr>
              <w:t>I</w:t>
            </w:r>
          </w:p>
        </w:tc>
        <w:tc>
          <w:tcPr>
            <w:tcW w:w="1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  <w:w w:val="84"/>
              </w:rPr>
              <w:t>See footnote</w:t>
            </w:r>
            <w:r>
              <w:rPr>
                <w:rFonts w:ascii="Arial" w:cs="Arial" w:eastAsia="Arial" w:hAnsi="Arial"/>
                <w:sz w:val="25"/>
                <w:szCs w:val="25"/>
                <w:color w:val="008000"/>
                <w:w w:val="84"/>
                <w:vertAlign w:val="superscript"/>
              </w:rPr>
              <w:t>(1)(2)</w:t>
            </w: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</w:rPr>
              <w:t>Class B Common Stock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47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  <w:w w:val="84"/>
              </w:rPr>
              <w:t>2,564,861</w:t>
            </w:r>
            <w:r>
              <w:rPr>
                <w:rFonts w:ascii="Arial" w:cs="Arial" w:eastAsia="Arial" w:hAnsi="Arial"/>
                <w:sz w:val="25"/>
                <w:szCs w:val="25"/>
                <w:color w:val="008000"/>
                <w:w w:val="84"/>
                <w:vertAlign w:val="superscript"/>
              </w:rPr>
              <w:t>(1)</w:t>
            </w: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8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</w:rPr>
              <w:t>I</w:t>
            </w:r>
          </w:p>
        </w:tc>
        <w:tc>
          <w:tcPr>
            <w:tcW w:w="1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  <w:w w:val="84"/>
              </w:rPr>
              <w:t>See footnote</w:t>
            </w:r>
            <w:r>
              <w:rPr>
                <w:rFonts w:ascii="Arial" w:cs="Arial" w:eastAsia="Arial" w:hAnsi="Arial"/>
                <w:sz w:val="25"/>
                <w:szCs w:val="25"/>
                <w:color w:val="008000"/>
                <w:w w:val="84"/>
                <w:vertAlign w:val="superscript"/>
              </w:rPr>
              <w:t>(1)(3)</w:t>
            </w: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5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</w:rPr>
              <w:t>Class B Common Stock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49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  <w:w w:val="84"/>
              </w:rPr>
              <w:t>187,394</w:t>
            </w:r>
            <w:r>
              <w:rPr>
                <w:rFonts w:ascii="Arial" w:cs="Arial" w:eastAsia="Arial" w:hAnsi="Arial"/>
                <w:sz w:val="25"/>
                <w:szCs w:val="25"/>
                <w:color w:val="008000"/>
                <w:w w:val="84"/>
                <w:vertAlign w:val="superscript"/>
              </w:rPr>
              <w:t>(1)</w:t>
            </w: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8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  <w:w w:val="96"/>
              </w:rPr>
              <w:t>D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700" w:type="dxa"/>
            <w:vAlign w:val="bottom"/>
            <w:tcBorders>
              <w:top w:val="single" w:sz="8" w:color="2C2C2C"/>
            </w:tcBorders>
            <w:gridSpan w:val="6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Table II - Derivative Securities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60" w:type="dxa"/>
            <w:vAlign w:val="bottom"/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1. Title of Derivative Security (Instr.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2. Date Exercisable and</w:t>
            </w:r>
          </w:p>
        </w:tc>
        <w:tc>
          <w:tcPr>
            <w:tcW w:w="28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3. Title and Amount of 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4.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5.</w:t>
            </w:r>
          </w:p>
        </w:tc>
        <w:tc>
          <w:tcPr>
            <w:tcW w:w="14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6.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680" w:type="dxa"/>
            <w:vAlign w:val="bottom"/>
            <w:gridSpan w:val="2"/>
          </w:tcPr>
          <w:p>
            <w:pPr>
              <w:ind w:left="10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2880" w:type="dxa"/>
            <w:vAlign w:val="bottom"/>
            <w:gridSpan w:val="3"/>
          </w:tcPr>
          <w:p>
            <w:pPr>
              <w:ind w:left="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Underlying Derivative Security (Instr.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1460" w:type="dxa"/>
            <w:vAlign w:val="bottom"/>
            <w:gridSpan w:val="2"/>
          </w:tcPr>
          <w:p>
            <w:pPr>
              <w:ind w:left="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Indirect 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720" w:type="dxa"/>
            <w:vAlign w:val="bottom"/>
          </w:tcPr>
          <w:p>
            <w:pPr>
              <w:ind w:left="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4)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Form:</w:t>
            </w:r>
          </w:p>
        </w:tc>
        <w:tc>
          <w:tcPr>
            <w:tcW w:w="1460" w:type="dxa"/>
            <w:vAlign w:val="bottom"/>
            <w:gridSpan w:val="2"/>
          </w:tcPr>
          <w:p>
            <w:pPr>
              <w:ind w:left="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Ownership (Instr.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vMerge w:val="restart"/>
          </w:tcPr>
          <w:p>
            <w:pPr>
              <w:ind w:left="2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Price of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5)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Amount or</w:t>
            </w: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Date</w:t>
            </w:r>
          </w:p>
        </w:tc>
        <w:tc>
          <w:tcPr>
            <w:tcW w:w="900" w:type="dxa"/>
            <w:vAlign w:val="bottom"/>
          </w:tcPr>
          <w:p>
            <w:pPr>
              <w:jc w:val="center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Title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Number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(I) (Instr. 5)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Date</w:t>
            </w:r>
          </w:p>
        </w:tc>
        <w:tc>
          <w:tcPr>
            <w:tcW w:w="172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Shares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  <w:w w:val="95"/>
              </w:rPr>
              <w:t>Class A Common LLC Units</w:t>
            </w:r>
            <w:r>
              <w:rPr>
                <w:rFonts w:ascii="Arial" w:cs="Arial" w:eastAsia="Arial" w:hAnsi="Arial"/>
                <w:sz w:val="25"/>
                <w:szCs w:val="25"/>
                <w:color w:val="008000"/>
                <w:w w:val="95"/>
                <w:vertAlign w:val="superscript"/>
              </w:rPr>
              <w:t>(4)</w:t>
            </w:r>
          </w:p>
        </w:tc>
        <w:tc>
          <w:tcPr>
            <w:tcW w:w="1140" w:type="dxa"/>
            <w:vAlign w:val="bottom"/>
            <w:gridSpan w:val="2"/>
            <w:vMerge w:val="restart"/>
          </w:tcPr>
          <w:p>
            <w:pPr>
              <w:jc w:val="right"/>
              <w:ind w:right="3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8000"/>
              </w:rPr>
              <w:t>(4)</w:t>
            </w:r>
          </w:p>
        </w:tc>
        <w:tc>
          <w:tcPr>
            <w:tcW w:w="9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8000"/>
                <w:w w:val="87"/>
              </w:rPr>
              <w:t>(4)</w:t>
            </w:r>
          </w:p>
        </w:tc>
        <w:tc>
          <w:tcPr>
            <w:tcW w:w="17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  <w:w w:val="88"/>
              </w:rPr>
              <w:t>Class A Common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  <w:w w:val="93"/>
              </w:rPr>
              <w:t>2,564,861</w:t>
            </w:r>
            <w:r>
              <w:rPr>
                <w:rFonts w:ascii="Arial" w:cs="Arial" w:eastAsia="Arial" w:hAnsi="Arial"/>
                <w:sz w:val="25"/>
                <w:szCs w:val="25"/>
                <w:color w:val="008000"/>
                <w:w w:val="93"/>
                <w:vertAlign w:val="superscript"/>
              </w:rPr>
              <w:t>(1)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8000"/>
              </w:rPr>
              <w:t>(4)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</w:rPr>
              <w:t>I</w:t>
            </w:r>
          </w:p>
        </w:tc>
        <w:tc>
          <w:tcPr>
            <w:tcW w:w="14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  <w:w w:val="89"/>
              </w:rPr>
              <w:t>See footnote</w:t>
            </w:r>
            <w:r>
              <w:rPr>
                <w:rFonts w:ascii="Arial" w:cs="Arial" w:eastAsia="Arial" w:hAnsi="Arial"/>
                <w:sz w:val="25"/>
                <w:szCs w:val="25"/>
                <w:color w:val="008000"/>
                <w:w w:val="89"/>
                <w:vertAlign w:val="superscript"/>
              </w:rPr>
              <w:t>(1)(3)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  <w:w w:val="82"/>
              </w:rPr>
              <w:t>Stock</w:t>
            </w:r>
            <w:r>
              <w:rPr>
                <w:rFonts w:ascii="Arial" w:cs="Arial" w:eastAsia="Arial" w:hAnsi="Arial"/>
                <w:sz w:val="25"/>
                <w:szCs w:val="25"/>
                <w:color w:val="008000"/>
                <w:w w:val="82"/>
                <w:vertAlign w:val="superscript"/>
              </w:rPr>
              <w:t>(4)</w:t>
            </w: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  <w:w w:val="95"/>
              </w:rPr>
              <w:t>Class A Common LLC Units</w:t>
            </w:r>
            <w:r>
              <w:rPr>
                <w:rFonts w:ascii="Arial" w:cs="Arial" w:eastAsia="Arial" w:hAnsi="Arial"/>
                <w:sz w:val="25"/>
                <w:szCs w:val="25"/>
                <w:color w:val="008000"/>
                <w:w w:val="95"/>
                <w:vertAlign w:val="superscript"/>
              </w:rPr>
              <w:t>(4)</w:t>
            </w:r>
          </w:p>
        </w:tc>
        <w:tc>
          <w:tcPr>
            <w:tcW w:w="1140" w:type="dxa"/>
            <w:vAlign w:val="bottom"/>
            <w:gridSpan w:val="2"/>
            <w:vMerge w:val="restart"/>
          </w:tcPr>
          <w:p>
            <w:pPr>
              <w:jc w:val="right"/>
              <w:ind w:right="3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8000"/>
              </w:rPr>
              <w:t>(4)</w:t>
            </w:r>
          </w:p>
        </w:tc>
        <w:tc>
          <w:tcPr>
            <w:tcW w:w="9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8000"/>
                <w:w w:val="87"/>
              </w:rPr>
              <w:t>(4)</w:t>
            </w:r>
          </w:p>
        </w:tc>
        <w:tc>
          <w:tcPr>
            <w:tcW w:w="17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  <w:w w:val="88"/>
              </w:rPr>
              <w:t>Class A Common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jc w:val="center"/>
              <w:ind w:right="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</w:rPr>
              <w:t>429,503</w:t>
            </w:r>
            <w:r>
              <w:rPr>
                <w:rFonts w:ascii="Arial" w:cs="Arial" w:eastAsia="Arial" w:hAnsi="Arial"/>
                <w:sz w:val="25"/>
                <w:szCs w:val="25"/>
                <w:color w:val="008000"/>
                <w:vertAlign w:val="superscript"/>
              </w:rPr>
              <w:t>(1)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8000"/>
              </w:rPr>
              <w:t>(4)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</w:rPr>
              <w:t>D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  <w:w w:val="82"/>
              </w:rPr>
              <w:t>Stock</w:t>
            </w:r>
            <w:r>
              <w:rPr>
                <w:rFonts w:ascii="Arial" w:cs="Arial" w:eastAsia="Arial" w:hAnsi="Arial"/>
                <w:sz w:val="25"/>
                <w:szCs w:val="25"/>
                <w:color w:val="008000"/>
                <w:w w:val="82"/>
                <w:vertAlign w:val="superscript"/>
              </w:rPr>
              <w:t>(4)</w:t>
            </w: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Explanation of Responses: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200" w:hanging="155"/>
        <w:spacing w:after="0"/>
        <w:tabs>
          <w:tab w:leader="none" w:pos="200" w:val="left"/>
        </w:tabs>
        <w:numPr>
          <w:ilvl w:val="0"/>
          <w:numId w:val="5"/>
        </w:numPr>
        <w:rPr>
          <w:rFonts w:ascii="Arial" w:cs="Arial" w:eastAsia="Arial" w:hAnsi="Arial"/>
          <w:sz w:val="15"/>
          <w:szCs w:val="15"/>
          <w:color w:val="008000"/>
        </w:rPr>
      </w:pPr>
      <w:r>
        <w:rPr>
          <w:rFonts w:ascii="Arial" w:cs="Arial" w:eastAsia="Arial" w:hAnsi="Arial"/>
          <w:sz w:val="15"/>
          <w:szCs w:val="15"/>
          <w:color w:val="008000"/>
        </w:rPr>
        <w:t>This amendment is being filed to correctly reflect the shares held directly and indirectly.</w:t>
      </w:r>
    </w:p>
    <w:p>
      <w:pPr>
        <w:spacing w:after="0" w:line="52" w:lineRule="exact"/>
        <w:rPr>
          <w:rFonts w:ascii="Arial" w:cs="Arial" w:eastAsia="Arial" w:hAnsi="Arial"/>
          <w:sz w:val="15"/>
          <w:szCs w:val="15"/>
          <w:color w:val="008000"/>
        </w:rPr>
      </w:pPr>
    </w:p>
    <w:p>
      <w:pPr>
        <w:ind w:left="40" w:right="400" w:firstLine="5"/>
        <w:spacing w:after="0" w:line="253" w:lineRule="auto"/>
        <w:tabs>
          <w:tab w:leader="none" w:pos="190" w:val="left"/>
        </w:tabs>
        <w:numPr>
          <w:ilvl w:val="0"/>
          <w:numId w:val="5"/>
        </w:numPr>
        <w:rPr>
          <w:rFonts w:ascii="Arial" w:cs="Arial" w:eastAsia="Arial" w:hAnsi="Arial"/>
          <w:sz w:val="15"/>
          <w:szCs w:val="15"/>
          <w:color w:val="008000"/>
        </w:rPr>
      </w:pPr>
      <w:r>
        <w:rPr>
          <w:rFonts w:ascii="Arial" w:cs="Arial" w:eastAsia="Arial" w:hAnsi="Arial"/>
          <w:sz w:val="15"/>
          <w:szCs w:val="15"/>
          <w:color w:val="008000"/>
        </w:rPr>
        <w:t>Represents 378,533 shares of Class A Common Stock of the Issuer ("Class A Shares") held by Biologix Partners, LP and 450,902 Class A Shares held by VH Rani, LP. The Reporting Person disclaims beneficial ownership of these securities except to the extent of his pecuniary interest therein.</w:t>
      </w:r>
    </w:p>
    <w:p>
      <w:pPr>
        <w:spacing w:after="0" w:line="26" w:lineRule="exact"/>
        <w:rPr>
          <w:rFonts w:ascii="Arial" w:cs="Arial" w:eastAsia="Arial" w:hAnsi="Arial"/>
          <w:sz w:val="15"/>
          <w:szCs w:val="15"/>
          <w:color w:val="008000"/>
        </w:rPr>
      </w:pPr>
    </w:p>
    <w:p>
      <w:pPr>
        <w:ind w:left="40" w:right="340" w:firstLine="5"/>
        <w:spacing w:after="0" w:line="253" w:lineRule="auto"/>
        <w:tabs>
          <w:tab w:leader="none" w:pos="190" w:val="left"/>
        </w:tabs>
        <w:numPr>
          <w:ilvl w:val="0"/>
          <w:numId w:val="5"/>
        </w:numPr>
        <w:rPr>
          <w:rFonts w:ascii="Arial" w:cs="Arial" w:eastAsia="Arial" w:hAnsi="Arial"/>
          <w:sz w:val="15"/>
          <w:szCs w:val="15"/>
          <w:color w:val="008000"/>
        </w:rPr>
      </w:pPr>
      <w:r>
        <w:rPr>
          <w:rFonts w:ascii="Arial" w:cs="Arial" w:eastAsia="Arial" w:hAnsi="Arial"/>
          <w:sz w:val="15"/>
          <w:szCs w:val="15"/>
          <w:color w:val="008000"/>
        </w:rPr>
        <w:t>Represents 2,492,441 shares of Class B Common Stock of the Issuer ("Class B Shares") held by InCube Ventures II, L.P. and 72,420 Class B Shares held by Rani Investment Corp. The Reporting Person disclaims beneficial ownership of these securities except to the extent of his pecuniary interest therein.</w:t>
      </w:r>
    </w:p>
    <w:p>
      <w:pPr>
        <w:spacing w:after="0" w:line="26" w:lineRule="exact"/>
        <w:rPr>
          <w:rFonts w:ascii="Arial" w:cs="Arial" w:eastAsia="Arial" w:hAnsi="Arial"/>
          <w:sz w:val="15"/>
          <w:szCs w:val="15"/>
          <w:color w:val="008000"/>
        </w:rPr>
      </w:pPr>
    </w:p>
    <w:p>
      <w:pPr>
        <w:ind w:left="40" w:right="140" w:firstLine="5"/>
        <w:spacing w:after="0" w:line="260" w:lineRule="auto"/>
        <w:tabs>
          <w:tab w:leader="none" w:pos="190" w:val="left"/>
        </w:tabs>
        <w:numPr>
          <w:ilvl w:val="0"/>
          <w:numId w:val="5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Represents Common LLC Units of Rani Therapeutics, LLC, a direct subsidiary of the Issuer. The Common LLC Units are redeemable at the election of the Reporting Person at any time for newly-issued Class A Shares on a one-for-one basis or, if mutually agreed with the Issuer, a cash payment equal to the volume weighted average market price of one Class A Share for each Common LLC Unit redeemed (subject to customary adjustments, including for stock splits, stock dividends and reclassifications). However, the Issuer may elect to effect a direct exchange of such Class A Shares (or such cash, if mutually agreed) for such Common LLC Units.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Remarks:</w:t>
      </w:r>
    </w:p>
    <w:p>
      <w:pPr>
        <w:spacing w:after="0" w:line="131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</w:rPr>
              <w:t>/s/ Josh Seidenfeld,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80" w:type="dxa"/>
            <w:vAlign w:val="bottom"/>
            <w:gridSpan w:val="4"/>
          </w:tcPr>
          <w:p>
            <w:pPr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</w:rPr>
              <w:t>Attorney-in-Fact for</w:t>
            </w:r>
          </w:p>
        </w:tc>
        <w:tc>
          <w:tcPr>
            <w:tcW w:w="900" w:type="dxa"/>
            <w:vAlign w:val="bottom"/>
          </w:tcPr>
          <w:p>
            <w:pPr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  <w:w w:val="87"/>
              </w:rPr>
              <w:t>08/02/2021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80" w:type="dxa"/>
            <w:vAlign w:val="bottom"/>
            <w:gridSpan w:val="4"/>
          </w:tcPr>
          <w:p>
            <w:pPr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</w:rPr>
              <w:t>Andrew Farquharson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gridSpan w:val="3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** Signature of Reporting</w:t>
            </w:r>
          </w:p>
        </w:tc>
        <w:tc>
          <w:tcPr>
            <w:tcW w:w="9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8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Person</w:t>
            </w: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87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Reminder: Report on a separate line for each class of securities beneficially owned directly or indirectly.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87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5"/>
                <w:szCs w:val="15"/>
                <w:i w:val="1"/>
                <w:iCs w:val="1"/>
                <w:color w:val="auto"/>
              </w:rPr>
              <w:t>see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 xml:space="preserve"> Instruction 5 (b)(v).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9" w:lineRule="exact"/>
        <w:rPr>
          <w:sz w:val="24"/>
          <w:szCs w:val="24"/>
          <w:color w:val="auto"/>
        </w:rPr>
      </w:pPr>
    </w:p>
    <w:p>
      <w:pPr>
        <w:jc w:val="both"/>
        <w:ind w:left="40" w:right="2240" w:firstLine="5"/>
        <w:spacing w:after="0" w:line="334" w:lineRule="auto"/>
        <w:tabs>
          <w:tab w:leader="none" w:pos="199" w:val="left"/>
        </w:tabs>
        <w:numPr>
          <w:ilvl w:val="0"/>
          <w:numId w:val="6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6 for procedure.</w:t>
      </w:r>
    </w:p>
    <w:p>
      <w:pPr>
        <w:ind w:left="40" w:right="80"/>
        <w:spacing w:after="0" w:line="26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0940"/>
      </w:cols>
      <w:pgMar w:left="480" w:top="236" w:right="479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2AE8944A"/>
    <w:multiLevelType w:val="hybridMultilevel"/>
    <w:lvl w:ilvl="0">
      <w:lvlJc w:val="left"/>
      <w:lvlText w:val="%1."/>
      <w:numFmt w:val="decimal"/>
      <w:start w:val="4"/>
    </w:lvl>
  </w:abstractNum>
  <w:abstractNum w:abstractNumId="1">
    <w:nsid w:val="625558EC"/>
    <w:multiLevelType w:val="hybridMultilevel"/>
    <w:lvl w:ilvl="0">
      <w:lvlJc w:val="left"/>
      <w:lvlText w:val="%1."/>
      <w:numFmt w:val="decimal"/>
      <w:start w:val="5"/>
    </w:lvl>
  </w:abstractNum>
  <w:abstractNum w:abstractNumId="2">
    <w:nsid w:val="238E1F29"/>
    <w:multiLevelType w:val="hybridMultilevel"/>
    <w:lvl w:ilvl="0">
      <w:lvlJc w:val="left"/>
      <w:lvlText w:val="%1."/>
      <w:numFmt w:val="decimal"/>
      <w:start w:val="6"/>
    </w:lvl>
  </w:abstractNum>
  <w:abstractNum w:abstractNumId="3">
    <w:nsid w:val="46E87CCD"/>
    <w:multiLevelType w:val="hybridMultilevel"/>
    <w:lvl w:ilvl="0">
      <w:lvlJc w:val="left"/>
      <w:lvlText w:val="X"/>
      <w:numFmt w:val="bullet"/>
      <w:start w:val="1"/>
    </w:lvl>
  </w:abstractNum>
  <w:abstractNum w:abstractNumId="4">
    <w:nsid w:val="3D1B58BA"/>
    <w:multiLevelType w:val="hybridMultilevel"/>
    <w:lvl w:ilvl="0">
      <w:lvlJc w:val="left"/>
      <w:lvlText w:val="%1."/>
      <w:numFmt w:val="decimal"/>
      <w:start w:val="1"/>
    </w:lvl>
  </w:abstractNum>
  <w:abstractNum w:abstractNumId="5">
    <w:nsid w:val="507ED7AB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sec.gov/cgi-bin/browse-edgar?action=getcompany&amp;CIK=0001865699" TargetMode="External"/><Relationship Id="rId11" Type="http://schemas.openxmlformats.org/officeDocument/2006/relationships/hyperlink" Target="http://www.sec.gov/cgi-bin/browse-edgar?action=getcompany&amp;CIK=0001856725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2021-08-02T18:38:19Z</dcterms:created>
  <dcterms:modified xsi:type="dcterms:W3CDTF">2021-08-02T18:38:19Z</dcterms:modified>
</cp:coreProperties>
</file>